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 w:line="320" w:lineRule="auto"/>
        <w:jc w:val="center"/>
      </w:pPr>
      <w:r>
        <w:rPr>
          <w:b/>
          <w:sz w:val="36"/>
          <w:szCs w:val="36"/>
          <w:color w:val="17365D"/>
          <w:rFonts w:ascii="Arial" w:eastAsia="Microsoft YaHei" w:hAnsi="Arial"/>
        </w:rPr>
        <w:t xml:space="preserve">单一重仓持仓处理备忘录</w:t>
      </w:r>
    </w:p>
    <w:p>
      <w:pPr>
        <w:pStyle w:val="Subtitle"/>
        <w:spacing w:before="0" w:after="240" w:line="320" w:lineRule="auto"/>
        <w:jc w:val="center"/>
      </w:pPr>
      <w:r>
        <w:rPr>
          <w:sz w:val="24"/>
          <w:szCs w:val="24"/>
          <w:color w:val="666666"/>
          <w:rFonts w:ascii="Arial" w:eastAsia="Microsoft YaHei" w:hAnsi="Arial"/>
        </w:rPr>
        <w:t xml:space="preserve">供客户经理下一次沟通使用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900"/>
        <w:gridCol w:w="7000"/>
      </w:tblGrid>
      <w:tr>
        <w:tc>
          <w:tcPr>
            <w:tcW w:w="19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项目</w:t>
            </w:r>
          </w:p>
        </w:tc>
        <w:tc>
          <w:tcPr>
            <w:tcW w:w="70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内容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记录截点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2026年8月26日10:30（北京时间）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账户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仅持有S01与人民币现金；无其他证券、融资或借款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投资目标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满足两笔教育支出并保留现金，同时整改单一证券集中度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材料范围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仅使用《单一重仓持仓记录.docx》和《持仓标的价格与事件.xlsx》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授权边界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分析和条件式计划；未代下单、未划款、不保证成交或收益</w:t>
            </w:r>
          </w:p>
        </w:tc>
      </w:tr>
    </w:tbl>
    <w:p>
      <w:pPr>
        <w:pStyle w:val="Quote"/>
        <w:spacing w:before="0" w:after="220" w:line="320" w:lineRule="auto"/>
      </w:pPr>
      <w:r>
        <w:rPr>
          <w:b/>
          <w:sz w:val="21"/>
          <w:szCs w:val="21"/>
          <w:color w:val="9C0006"/>
          <w:rFonts w:ascii="Arial" w:eastAsia="Microsoft YaHei" w:hAnsi="Arial"/>
        </w:rPr>
        <w:t xml:space="preserve">重要提示：未质押不等于立即可卖。当前正式可卖数量为20,000股；批次C当日买入2,000股受当日不可卖限制，批次B质押6,000股至少到2026年11月30日以后才可申请解除，且解除完成日未知。任何计划数量都必须在下单前以券商实时“可卖数量”和有效买盘复核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一、结论先行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当前S01市值879,200元、账户总资产1,029,200元，单一证券权重85.4256%，明显高于60%上限。总持仓成本712,000元，账面浮盈167,200元，收益率23.4831%。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两笔教育费用合计220,000元，支付后还需保留80,000元现金，故从现有150,000元现金之外至少需要形成150,000元税费后卖出净收入。按31.40元估算，仅为现金目标最少卖4,800股，但这样在两笔支出后单一证券权重仍约90.0381%，不能满足60%约束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现金目标与集中度共同约束下，正常区间应按较保守的29.80元测算，累计卖出至少12,700股；若按当前31.40元测算，12,600股已可满足，但12,700股可覆盖29.80元下沿。该结果意味着至少需要动用部分低成本批次A，客户希望保留全部12,000股A的偏好与hard风险限额冲突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若连续两个交易日收盘低于27.50元，按情景价26.80元，五个交易日内需累计卖出至少14,600股，才能在当时把单一证券占比降至40%以下；按日均可成交3,000股估计，需3,000+3,000+3,000+3,000+2,600，刚好占满五日，不能保证实现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推荐采用“先修当前60%，再锁定11月15日后60%”的两阶段安排；如价格回升至33.60元以上则缩短执行周期，如跌破风险线则切换40%应急方案。所有股数是条件成立后的计划，不代表已成交。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二、账户与批次核对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500"/>
        <w:gridCol w:w="1050"/>
        <w:gridCol w:w="1250"/>
        <w:gridCol w:w="1400"/>
        <w:gridCol w:w="1700"/>
        <w:gridCol w:w="3100"/>
      </w:tblGrid>
      <w:tr>
        <w:tc>
          <w:tcPr>
            <w:tcW w:w="15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批次</w:t>
            </w:r>
          </w:p>
        </w:tc>
        <w:tc>
          <w:tcPr>
            <w:tcW w:w="105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数量</w:t>
            </w:r>
          </w:p>
        </w:tc>
        <w:tc>
          <w:tcPr>
            <w:tcW w:w="125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单位成本</w:t>
            </w:r>
          </w:p>
        </w:tc>
        <w:tc>
          <w:tcPr>
            <w:tcW w:w="14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31.40元市值</w:t>
            </w:r>
          </w:p>
        </w:tc>
        <w:tc>
          <w:tcPr>
            <w:tcW w:w="17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账面盈亏</w:t>
            </w:r>
          </w:p>
        </w:tc>
        <w:tc>
          <w:tcPr>
            <w:tcW w:w="31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状态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A（2024-04-18）</w:t>
            </w:r>
          </w:p>
        </w:tc>
        <w:tc>
          <w:tcPr>
            <w:tcW w:w="10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12,000</w:t>
            </w:r>
          </w:p>
        </w:tc>
        <w:tc>
          <w:tcPr>
            <w:tcW w:w="12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18.20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376,800.00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+158,400.00（+72.5275%）</w:t>
            </w:r>
          </w:p>
        </w:tc>
        <w:tc>
          <w:tcPr>
            <w:tcW w:w="3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无质押/限售；正式记录可卖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B（2025-11-06）</w:t>
            </w:r>
          </w:p>
        </w:tc>
        <w:tc>
          <w:tcPr>
            <w:tcW w:w="10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8,000</w:t>
            </w:r>
          </w:p>
        </w:tc>
        <w:tc>
          <w:tcPr>
            <w:tcW w:w="12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27.60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251,200.00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+30,400.00（+13.7681%）</w:t>
            </w:r>
          </w:p>
        </w:tc>
        <w:tc>
          <w:tcPr>
            <w:tcW w:w="3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6,000质押；仅2,000可卖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C（2026-06-12及08-26）</w:t>
            </w:r>
          </w:p>
        </w:tc>
        <w:tc>
          <w:tcPr>
            <w:tcW w:w="10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8,000</w:t>
            </w:r>
          </w:p>
        </w:tc>
        <w:tc>
          <w:tcPr>
            <w:tcW w:w="12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34.10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251,200.00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−21,600.00（−7.9179%）</w:t>
            </w:r>
          </w:p>
        </w:tc>
        <w:tc>
          <w:tcPr>
            <w:tcW w:w="3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旧批6,000可卖；当日买2,000不可卖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合计</w:t>
            </w:r>
          </w:p>
        </w:tc>
        <w:tc>
          <w:tcPr>
            <w:tcW w:w="10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28,000</w:t>
            </w:r>
          </w:p>
        </w:tc>
        <w:tc>
          <w:tcPr>
            <w:tcW w:w="125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总成本712,000.00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879,200.00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+167,200.00（+23.4831%）</w:t>
            </w:r>
          </w:p>
        </w:tc>
        <w:tc>
          <w:tcPr>
            <w:tcW w:w="3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记录截点正式可卖20,000</w:t>
            </w:r>
          </w:p>
        </w:tc>
      </w:tr>
    </w:tbl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核对关系：879,200元证券市值+150,000元人民币现金=1,029,200元账户资产，勾稽无差额。账户没有其他证券、融资或借款。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批次偏好说明：股份在交易层面是同一证券，备忘录中的“优先出售C、再B、最后A”是客户沟通与内部经济归因顺序；能否在券商成本核算中指定具体批次需另行确认。不得把该归因写成券商已经锁定某一批次成交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三、现金缺口与集中度为什么不能分开看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3300"/>
        <w:gridCol w:w="2800"/>
        <w:gridCol w:w="3000"/>
      </w:tblGrid>
      <w:tr>
        <w:tc>
          <w:tcPr>
            <w:tcW w:w="33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项目</w:t>
            </w:r>
          </w:p>
        </w:tc>
        <w:tc>
          <w:tcPr>
            <w:tcW w:w="28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金额/比例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结论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现有人民币现金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150,000.00元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账户现金，不等于全部可用于教育支出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两笔教育费用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120,000.00+100,000.00=220,000.00元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日期分别为10月30日和11月15日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支付后最低现金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80,000.00元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hard要求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最低新增税费后卖出净收入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220,000+80,000−150,000=150,000.00元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不含成交不确定性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31.40元时现金目标最低卖量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4,800股；净收入约150,599.42元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只解决现金，不解决集中度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当前单一证券权重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879,200/1,029,200=85.4256%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超过60%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31.40元时当前降至60%的最低卖量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8,400股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至少两日，因客户单日≤6,000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31.40元时两笔支出后仍≤60%的最低卖量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12,600股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比现金最低卖量多7,800股</w:t>
            </w:r>
          </w:p>
        </w:tc>
      </w:tr>
    </w:tbl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资金结算和可划转规则未在附件中给出，因此本备忘录不能断言卖出当日或次日即可用于缴费。建议所有必要卖出在付款日前预留至少两个工作日，并以券商实际“可划转现金”回报为准；10月30日为周五，11月15日为周日，第二笔资金尤应在此前交易日完成结算确认。这里的日期缓冲是风险控制安排，不是对结算制度的外部假设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四、价格与事件状态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截至8月26日10:30，盘中参考价31.40元，8月25日收盘32.06元；前期支撑29.80元、压力33.60元、ATR14为1.17元，盘中量557万股、20日均量610万股。价格处于支撑与压力之间，盘中回落不能单独证明趋势反转。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9月18日中期业绩说明会日期已确认，附件仅说明波动可能放大，未提供方向性信息。不能假设事件一定利好，也不能等待事件结果而继续无期限违反集中度上限。11月30日只是质押解除申请日，晚于两笔教育支出，且不能当作当日可卖；12月8日事项同样晚于计划核心截止，不用于现金来源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五、分情景数量、现金与持仓比例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2100"/>
        <w:gridCol w:w="2200"/>
        <w:gridCol w:w="1500"/>
        <w:gridCol w:w="1400"/>
        <w:gridCol w:w="1100"/>
        <w:gridCol w:w="2300"/>
      </w:tblGrid>
      <w:tr>
        <w:tc>
          <w:tcPr>
            <w:tcW w:w="21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情景</w:t>
            </w:r>
          </w:p>
        </w:tc>
        <w:tc>
          <w:tcPr>
            <w:tcW w:w="22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总卖量/日节奏</w:t>
            </w:r>
          </w:p>
        </w:tc>
        <w:tc>
          <w:tcPr>
            <w:tcW w:w="15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估计净收入</w:t>
            </w:r>
          </w:p>
        </w:tc>
        <w:tc>
          <w:tcPr>
            <w:tcW w:w="14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支付后现金</w:t>
            </w:r>
          </w:p>
        </w:tc>
        <w:tc>
          <w:tcPr>
            <w:tcW w:w="11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剩余股数</w:t>
            </w:r>
          </w:p>
        </w:tc>
        <w:tc>
          <w:tcPr>
            <w:tcW w:w="23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比例结果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S01 正常波动29.80–33.60；按29.80保守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12,700；6,000+6,000+700</w:t>
            </w:r>
          </w:p>
        </w:tc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378,157.23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308,157.23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15,300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支付后59.6704%≤60%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当前参考31.40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12,600最低；建议仍用12,700留价格缓冲</w:t>
            </w:r>
          </w:p>
        </w:tc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12,700时398,460.98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328,460.98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15,300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支付后59.3920%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S02 跌破29.80；参考29.20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12,700；4,000+4,000+4,000+700</w:t>
            </w:r>
          </w:p>
        </w:tc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370,543.33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300,543.33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15,300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支付后59.7830%≤60%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S03 达到/高于33.60；参考34.00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12,500；客户上限覆盖后6,000+6,000+500</w:t>
            </w:r>
          </w:p>
        </w:tc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424,660.00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354,660.00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15,500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支付后59.7736%≤60%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S04 连续两日收盘&lt;27.50；参考26.80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14,600；3,000×4+2,600</w:t>
            </w:r>
          </w:p>
        </w:tc>
        <w:tc>
          <w:tcPr>
            <w:tcW w:w="1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390,966.98</w:t>
            </w:r>
          </w:p>
        </w:tc>
        <w:tc>
          <w:tcPr>
            <w:tcW w:w="1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320,966.98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13,400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执行后当时39.8984%&lt;40%；支付后52.8050%≤60%</w:t>
            </w:r>
          </w:p>
        </w:tc>
      </w:tr>
    </w:tbl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注：净收入=卖出金额−佣金−印花税；佣金按0.03%、单笔最低5元，印花税按0.05%。上述大额订单的比例佣金均高于最低5元。情景成交量和价格均为估计，附件明确“不保证成交”。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若把风险线触发后的40%要求进一步解释为“11月15日付款后仍保持40%”，26.80元下需卖约17,900股；但五日按3,000股/日最多估计成交15,000股，存在至少2,900股的吞吐缺口。附件没有明确要求40%在付款后持续，也没有保证成交量，因此采用并列口径：14,600股为按触发时点执行的最低方案，17,900股为更严格但五日内不可由现有流动性保证的增强目标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六、建议的分阶段安排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阶段1：尽快修复“当前60%”并预留现金。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获得客户授权、券商显示可卖数量不低于6,000股，且价格处于29.80–33.60元、有效买盘支持日估计6,000股，then 第一日计划卖出6,000股；内部优先归因于批次C的旧6,000股。按31.40元估算净收入188,249.28元，卖后总股数22,000股，但当前权重仍约67.13%，因此只是第一步。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下一交易日确认批次C当日买入2,000股已转为可卖，且正常区间仍成立，then 再卖2,600股，使累计卖量8,600股；内部归因为C 2,000+B未质押600。按31.40元估算两日累计净收入269,823.97元，当前单一证券权重降至约59.20%。If 可卖状态未更新，then 不卖该2,000股，改用其他已确认可卖股数并重新核对批次偏好。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阶段2：在付款前锁定“11月15日支付后仍≤60%”。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价格仍在29.80–33.60元且累计只卖8,600股，then 最迟在第一笔付款前的预留窗口再卖4,100股，使累计12,700股；内部归因为B剩余1,400+A 2,700，最终预计A保留9,300股、B质押6,000股，总持股15,300股。实际现金可划转时点必须由券商确认。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价格达到或高于33.60元并有参考34.00元附近的有效成交，then 将总目标调整为12,500股，受客户单日6,000股约束分为6,000+6,000+500；不得因上涨取消集中度整改，也不得把34元写成保证成交价。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阶段3：风险线应急。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连续两个交易日收盘价低于27.50元，then 从第二个确认收盘后的下一可交易时段起，在五个交易日内按实际可卖与买盘安排3,000+3,000+3,000+3,000+2,600股，累计目标14,600股；内部归因C 8,000+B未质押2,000+A 4,600，预计A剩7,400、质押B剩6,000。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If 任一日仅部分成交或零成交，then 只累计实际成交数量，不得把剩余委托当成已降仓；立即重算剩余天数与日均所需量。若剩余需求超过3,000股/日估计上限，应向客户经理报告“40%时限存在不可执行风险”，而不是声称止损已完成。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七、完整if→then交易纪律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900"/>
        <w:gridCol w:w="2400"/>
        <w:gridCol w:w="3500"/>
        <w:gridCol w:w="2300"/>
      </w:tblGrid>
      <w:tr>
        <w:tc>
          <w:tcPr>
            <w:tcW w:w="9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规则</w:t>
            </w:r>
          </w:p>
        </w:tc>
        <w:tc>
          <w:tcPr>
            <w:tcW w:w="24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if 条件</w:t>
            </w:r>
          </w:p>
        </w:tc>
        <w:tc>
          <w:tcPr>
            <w:tcW w:w="35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then 动作</w:t>
            </w:r>
          </w:p>
        </w:tc>
        <w:tc>
          <w:tcPr>
            <w:tcW w:w="2300" w:type="dxa"/>
            <w:shd w:fill="D9EAF7"/>
            <w:vAlign w:val="center"/>
          </w:tcPr>
          <w:p>
            <w:pPr>
              <w:spacing w:after="40"/>
              <w:jc w:val="center"/>
            </w:pPr>
            <w:r>
              <w:rPr>
                <w:b/>
                <w:sz w:val="18"/>
                <w:szCs w:val="18"/>
                <w:rFonts w:ascii="Arial" w:eastAsia="Microsoft YaHei" w:hAnsi="Arial"/>
              </w:rPr>
              <w:t xml:space="preserve">失效/复核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R1 可卖核验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券商总持仓28,000且正式可卖≥20,000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交易数量只能来自已确认可卖；当日新买2,000和质押6,000均排除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每笔委托前复核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R2 正常区间首段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29.80≤有效价≤33.60且买盘支持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单日最多卖6,000；首日目标6,000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未授权、买盘不足或部分成交即按实际回报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R3 当前60%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累计卖6,000后次日仍在正常区间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补卖2,600至累计8,600，使当前权重≤60%留小幅缓冲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实际价变化后重算，不能照搬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R4 付款后60%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累计卖量&lt;12,700且29.80下沿仍适用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再卖至累计12,700，并在付款前确认现金可划转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如价格≥33.60可按R6重算12500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R5 跌破支撑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收盘&lt;29.80但尚未连续两日&lt;27.50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按29.20情景累计卖12,700，日量最多4,000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价格、买盘或可卖数变化即复核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R6 价格回升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有效价≥33.60，参考34.00且有买盘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累计卖12,500，单日仍不超过客户上限6,000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跌回33.60下方则回到S01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R7 风险线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连续两日收盘&lt;27.50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五日内目标累计14,600，日计划3,000×4+2,600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部分成交只记实际；剩余需求/天数超3,000即报告不可行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R8 质押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11月30日前或解除登记未确认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质押6,000股可执行量始终记0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只有正式解除并更新可卖后才改变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R9 现金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税费后累计净收入&lt;150,000或现金不可划转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不得认定教育资金已备妥；补足净额并确认可划转状态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券商正式资金状态更新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R10 停止条件</w:t>
            </w:r>
          </w:p>
        </w:tc>
        <w:tc>
          <w:tcPr>
            <w:tcW w:w="24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累计卖量达到对应情景目标且双重比例/现金均满足</w:t>
            </w:r>
          </w:p>
        </w:tc>
        <w:tc>
          <w:tcPr>
            <w:tcW w:w="35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停止额外卖出，复核剩余A偏好与事件风险</w:t>
            </w:r>
          </w:p>
        </w:tc>
        <w:tc>
          <w:tcPr>
            <w:tcW w:w="2300" w:type="dxa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  <w:rFonts w:ascii="Arial" w:eastAsia="Microsoft YaHei" w:hAnsi="Arial"/>
              </w:rPr>
              <w:t xml:space="preserve">新价格或支出计划变化</w:t>
            </w:r>
          </w:p>
        </w:tc>
      </w:tr>
    </w:tbl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八、批次偏好、费用和损益权衡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若按“优先保留低成本A”归因，正常保守方案12,700股的出售构成为C 8,000+B未质押2,000+A 2,700，最终A仅能保留9,300股；34元回升方案出售C 8,000+B 2,000+A 2,500，A可保留9,500股；26.80元风险线方案需出售C 8,000+B 2,000+A 4,600，A仅保留7,400股。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实现盈亏会随价格变化：正常区间下沿29.80元出售12,700股，按上述归因和费用估算实现收益约1,017.23元；29.20元约实现亏损6,596.67元；34.00元约实现收益51,160.00元；26.80元出售14,600股约实现亏损20,753.02元。客户“少实现亏损”是soft偏好，不能覆盖现金和集中度hard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如果只追求少实现亏损，可以优先卖出有浮盈的A/B，但会更明显违背保留A的偏好；如果只追求保留A，则优先卖C会确认亏损。两者不能同时最优，建议客户经理在hard约束已经锁定的总卖量内，让客户明确偏好排序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九、当前不可执行和待确认事项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不可把B质押6,000股用于10月30日、11月15日付款或风险线五日计划；11月30日仅可申请解除。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不可在8月26日卖出C当日买入2,000股；下一交易日也需看券商可卖状态。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不可把情景日均可成交量视为保证；客户单日6,000股上限与情景量取较小者。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资金结算、可划转时点和银行端支付安排未提供，必须向券商确认；在确认前只能说“预计净收入”，不能说“已备妥现金”。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需确认券商是否支持批次层面的成本指定；如不支持，批次保留仅作经济归因。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• 若未来支出金额、日期、质押状态、可卖数量或账户现金发生变化，所有数量和比例必须重算。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十、授权与沟通用语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本备忘录建议客户经理使用“如果条件成立，则计划……”的表达。不得使用“已经卖出”“保证在某价成交”“一定能止损”“一定能保留收益”等措辞。所有比例基于附件的情景价格和账户结构，真实成交前必须取得客户授权，成交后必须用实际数量、实际费用和最新账户总资产重新核验。</w:t>
      </w:r>
    </w:p>
    <w:p>
      <w:pPr>
        <w:pStyle w:val="Heading1"/>
        <w:spacing w:before="160" w:after="100" w:line="320" w:lineRule="auto"/>
      </w:pPr>
      <w:r>
        <w:rPr>
          <w:b/>
          <w:sz w:val="28"/>
          <w:szCs w:val="28"/>
          <w:color w:val="17365D"/>
          <w:rFonts w:ascii="Arial" w:eastAsia="Microsoft YaHei" w:hAnsi="Arial"/>
        </w:rPr>
        <w:t xml:space="preserve">附：核心计算公式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税费后卖出净收入 = 成交股数×成交价 − max(5元, 成交额×0.03%) − 成交额×0.05%。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支付后现金 = 150,000 + 税费后累计卖出净收入 − 120,000 − 100,000。</w:t>
      </w:r>
    </w:p>
    <w:p>
      <w:pPr>
        <w:spacing w:before="0" w:after="100" w:line="320" w:lineRule="auto"/>
      </w:pPr>
      <w:r>
        <w:rPr>
          <w:sz w:val="21"/>
          <w:szCs w:val="21"/>
          <w:rFonts w:ascii="Arial" w:eastAsia="Microsoft YaHei" w:hAnsi="Arial"/>
        </w:rPr>
        <w:t xml:space="preserve">支付后单一证券权重 = 剩余股数×情景价 ÷ [28,000×情景价 +150,000 − 交易费用 −220,000]。</w:t>
      </w:r>
    </w:p>
    <w:p>
      <w:pPr>
        <w:spacing w:before="0" w:after="0" w:line="320" w:lineRule="auto"/>
        <w:jc w:val="center"/>
      </w:pPr>
      <w:r>
        <w:rPr>
          <w:sz w:val="21"/>
          <w:szCs w:val="21"/>
          <w:color w:val="666666"/>
          <w:rFonts w:ascii="Arial" w:eastAsia="Microsoft YaHei" w:hAnsi="Arial"/>
        </w:rPr>
        <w:t xml:space="preserve">本备忘录完。</w:t>
      </w:r>
    </w:p>
    <w:sectPr>
      <w:pgSz w:w="11906" w:h="16838"/>
      <w:pgMar w:top="900" w:right="850" w:bottom="900" w:left="850" w:header="450" w:footer="4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1"/>
      <w:szCs w:val="21"/>
    </w:rPr>
  </w:style>
  <w:style w:type="paragraph" w:styleId="Title">
    <w:name w:val="Title"/>
    <w:basedOn w:val="Normal"/>
    <w:rPr>
      <w:b/>
      <w:sz w:val="36"/>
      <w:szCs w:val="36"/>
    </w:rPr>
  </w:style>
  <w:style w:type="paragraph" w:styleId="Subtitle">
    <w:name w:val="Subtitle"/>
    <w:basedOn w:val="Normal"/>
    <w:rPr>
      <w:color w:val="666666"/>
      <w:sz w:val="24"/>
      <w:szCs w:val="24"/>
    </w:rPr>
  </w:style>
  <w:style w:type="paragraph" w:styleId="Heading1">
    <w:name w:val="heading 1"/>
    <w:basedOn w:val="Normal"/>
    <w:keepNext/>
    <w:rPr>
      <w:b/>
      <w:color w:val="17365D"/>
      <w:sz w:val="28"/>
      <w:szCs w:val="28"/>
    </w:rPr>
  </w:style>
  <w:style w:type="paragraph" w:styleId="Quote">
    <w:name w:val="Quote"/>
    <w:basedOn w:val="Normal"/>
    <w:pPr>
      <w:ind w:left="360" w:right="360"/>
    </w:pPr>
    <w:rPr>
      <w:color w:val="9C000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Mojo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单一重仓持仓处理备忘录</dc:title>
  <dc:subject>持仓、现金缺口、集中度与条件式交易计划</dc:subject>
  <dc:creator>Mojo</dc:creator>
  <dcterms:created xsi:type="dcterms:W3CDTF">2026-09-12T03:00:00Z</dcterms:created>
</cp:coreProperties>
</file>