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宋体"/>
          <w:b/>
          <w:sz w:val="32"/>
        </w:rPr>
        <w:t>单一重仓持仓处理备忘录</w:t>
      </w:r>
    </w:p>
    <w:p>
      <w:pPr>
        <w:spacing w:after="200"/>
        <w:jc w:val="center"/>
      </w:pPr>
      <w:r>
        <w:rPr>
          <w:rFonts w:ascii="Calibri" w:hAnsi="Calibri" w:eastAsia="宋体"/>
          <w:b w:val="0"/>
          <w:sz w:val="20"/>
        </w:rPr>
        <w:t>记录截点：2026年8月26日 10:30（北京时间）｜用途：供客户经理下一次沟通使用</w:t>
      </w:r>
    </w:p>
    <w:p>
      <w:pPr>
        <w:spacing w:after="120"/>
      </w:pPr>
      <w:r>
        <w:rPr>
          <w:rFonts w:ascii="Calibri" w:hAnsi="Calibri" w:eastAsia="宋体"/>
          <w:b/>
          <w:sz w:val="26"/>
        </w:rPr>
        <w:t>一、账户与持仓现状（截点参考价 31.40 元/股）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账户持有 S01 共 28,000 股。盘中参考价 31.40 元，证券市值 879,200 元，人民币现金 150,000 元，账户资产合计 1,029,200 元。账户无其他证券、无融资或借款。单一证券市值占账户总资产比例 = 879,200 ÷ 1,029,200 = 85.42%，已高于 60% 的集中度上限。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持仓盈亏（按截点参考价 31.40 元测算）：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批次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股数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单位成本(元)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买入/状态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市值(元)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浮动盈亏(元)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盈亏比例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批次A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12,000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18.20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2024-04-18 买入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376,800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+158,400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+72.53%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批次B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8,000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27.60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2025-11-06 买入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251,200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+30,400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+13.77%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批次C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8,000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34.10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2026-06-12 / 08-26 买入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251,200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-21,600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-7.92%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合计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28,000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25.43(加权)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879,200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+167,200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+23.48%</w:t>
            </w:r>
          </w:p>
        </w:tc>
      </w:tr>
    </w:tbl>
    <w:p>
      <w:pPr>
        <w:spacing w:after="80"/>
      </w:pPr>
      <w:r>
        <w:rPr>
          <w:rFonts w:ascii="Calibri" w:hAnsi="Calibri" w:eastAsia="宋体"/>
          <w:b w:val="0"/>
          <w:sz w:val="21"/>
        </w:rPr>
      </w:r>
    </w:p>
    <w:p>
      <w:pPr>
        <w:spacing w:after="80"/>
      </w:pPr>
      <w:r>
        <w:rPr>
          <w:rFonts w:ascii="Calibri" w:hAnsi="Calibri" w:eastAsia="宋体"/>
          <w:b w:val="0"/>
          <w:sz w:val="19"/>
        </w:rPr>
        <w:t>说明：加权成本 = 总成本 712,000 ÷ 28,000 = 25.43 元；合计浮动盈亏 +167,200 元（+23.48%）。上述为账面浮动盈亏，未计入卖出费用。</w:t>
      </w:r>
    </w:p>
    <w:p>
      <w:pPr>
        <w:spacing w:after="120"/>
      </w:pPr>
      <w:r>
        <w:rPr>
          <w:rFonts w:ascii="Calibri" w:hAnsi="Calibri" w:eastAsia="宋体"/>
          <w:b/>
          <w:sz w:val="26"/>
        </w:rPr>
        <w:t>二、各批次可交易状态（未质押股份 ≠ 立即可卖股份）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批次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股数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状态说明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截点可卖(股)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8-27起可卖(股)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批次A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12,000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无质押、无限售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12,000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12,000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批次B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8,000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其中 6,000 股已质押；2,000 股可卖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批次C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8,000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6,000 股(06-12买入)可卖；2,000 股(08-26买入)当日不可卖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6,000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8,000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28,000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20,000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22,000</w:t>
            </w:r>
          </w:p>
        </w:tc>
      </w:tr>
    </w:tbl>
    <w:p>
      <w:pPr>
        <w:spacing w:after="80"/>
      </w:pPr>
      <w:r>
        <w:rPr>
          <w:rFonts w:ascii="Calibri" w:hAnsi="Calibri" w:eastAsia="宋体"/>
          <w:b w:val="0"/>
          <w:sz w:val="21"/>
        </w:rPr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截点（8-26 10:30）可卖数量 = 20,000 股；自 8-27 起，批次C当日买入的 2,000 股转为可卖，可卖数量增至 22,000 股。交易以 100 股整数处理。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批次B中 6,000 股已质押：质押解除须待 2026-11-30 后方可申请，且“能否当日完成登记尚未确认”，本备忘录一律不将其计入可交易数量。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“未质押”不等于“立即可卖”：批次C中 2,000 股虽未质押，但属 8-26 当日买入，截点不可卖；可交易数量须以“已过 T+1 且未质押/未锁定”为准。</w:t>
      </w:r>
    </w:p>
    <w:p>
      <w:pPr>
        <w:spacing w:after="120"/>
      </w:pPr>
      <w:r>
        <w:rPr>
          <w:rFonts w:ascii="Calibri" w:hAnsi="Calibri" w:eastAsia="宋体"/>
          <w:b/>
          <w:sz w:val="26"/>
        </w:rPr>
        <w:t>三、未来现金缺口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金额(元)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第一笔教育费用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2026-10-30 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120,000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第二笔教育费用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2026-11-15 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100,000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两笔支付后最低现金保留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2026-11-15 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80,000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合计资金需求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300,000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现有现金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截点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150,000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需通过卖出补足的净现金缺口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150,000</w:t>
            </w:r>
          </w:p>
        </w:tc>
      </w:tr>
    </w:tbl>
    <w:p>
      <w:pPr>
        <w:spacing w:after="80"/>
      </w:pPr>
      <w:r>
        <w:rPr>
          <w:rFonts w:ascii="Calibri" w:hAnsi="Calibri" w:eastAsia="宋体"/>
          <w:b w:val="0"/>
          <w:sz w:val="21"/>
        </w:rPr>
      </w:r>
    </w:p>
    <w:p>
      <w:pPr>
        <w:spacing w:after="80"/>
      </w:pPr>
      <w:r>
        <w:rPr>
          <w:rFonts w:ascii="Calibri" w:hAnsi="Calibri" w:eastAsia="宋体"/>
          <w:b w:val="0"/>
          <w:sz w:val="19"/>
        </w:rPr>
        <w:t>客户无追加资金计划。上述 150,000 元仅为“现金维度”的最低净缺口；集中度约束（下节）将要求卖出更多。</w:t>
      </w:r>
    </w:p>
    <w:p>
      <w:pPr>
        <w:spacing w:after="120"/>
      </w:pPr>
      <w:r>
        <w:rPr>
          <w:rFonts w:ascii="Calibri" w:hAnsi="Calibri" w:eastAsia="宋体"/>
          <w:b/>
          <w:sz w:val="26"/>
        </w:rPr>
        <w:t>四、集中度约束及其与现金缺口、可交易量的关系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现状：单一证券占比 85.42% &gt; 60%，已超限；要求 2026-11-15 第二笔支付后仍满足 ≤60%。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若仅满足现金缺口（净卖 150,000 元，约 4,800 股 @31.40）：卖出净额约 150,599 元，两笔支付后现金约 80,599 元，剩余证券约 728,480 元，占比约 90.04%，仍大幅高于 60%。——现金缺口是“下限”，不是充分条件。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60% 集中度达标的最低卖出量：经测算（设支付后证券 S、现金 C，须 S ≤ 1.5×C，且 C ≥ 80,000），按 31.40 元需卖出约 12,600 股（毛额约 395,640 元，费用约 316.51 元，净额约 395,323 元），剩余约 15,400 股、支付后现金约 325,323 元，占比约 59.78% ≤ 60%。该数量明显高于现金缺口的 4,800 股，故“60% 集中度约束”是决定性约束。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40% 风险线（对应情景 S04）：若连续两个交易日收盘价低于 27.50 元，须在可交易前提下于五个交易日内将占比降至 40% 以下。按 26.80 元参考价，需卖出约 17,900 股；但该情景日均可成交量仅约 3,000 股，五个交易日最多约 15,000 股，存在执行缺口（详见第五节）。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数量关系小结：22,000 股（8-27 起可卖，不含质押 6,000）＞ 40% 所需约 17,900 股 ＞ 60% 所需约 12,600 股 ＞ 现金缺口约 4,800 股。可交易数量覆盖各目标，但受单日成交与客户“单日不超过 6,000 股”约束，须分阶段执行。</w:t>
      </w:r>
    </w:p>
    <w:p>
      <w:pPr>
        <w:spacing w:after="120"/>
      </w:pPr>
      <w:r>
        <w:rPr>
          <w:rFonts w:ascii="Calibri" w:hAnsi="Calibri" w:eastAsia="宋体"/>
          <w:b/>
          <w:sz w:val="26"/>
        </w:rPr>
        <w:t>五、价格情景与分阶段处理安排</w:t>
      </w:r>
    </w:p>
    <w:p>
      <w:pPr>
        <w:spacing w:after="80"/>
      </w:pPr>
      <w:r>
        <w:rPr>
          <w:rFonts w:ascii="Calibri" w:hAnsi="Calibri" w:eastAsia="宋体"/>
          <w:b w:val="0"/>
          <w:sz w:val="19"/>
        </w:rPr>
        <w:t>价格情景仅采用附件《持仓标的价格与事件.xlsx》所给数据，参考价仅用于测算，不保证出现、不承诺成交价格或数量。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（一）价格情景速览：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情景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条件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参考价(元)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日均可成交估计(股)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S01 正常波动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价格维持 29.80–33.60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31.40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6,000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S02 跌破支撑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收盘跌破 29.80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29.20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4,000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S03 价格回升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收盘达到或高于 33.60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34.00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8,000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S04 跌破风险线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连续两日收盘低于 27.50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26.80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3,000</w:t>
            </w:r>
          </w:p>
        </w:tc>
      </w:tr>
    </w:tbl>
    <w:p>
      <w:pPr>
        <w:spacing w:after="80"/>
      </w:pPr>
      <w:r>
        <w:rPr>
          <w:rFonts w:ascii="Calibri" w:hAnsi="Calibri" w:eastAsia="宋体"/>
          <w:b w:val="0"/>
          <w:sz w:val="21"/>
        </w:rPr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（二）卖出批次优先顺序（尽量保留低成本、尽量保留批次A）：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优先卖出批次C可卖部分（6,000 股 + 次日起 2,000 股 = 8,000 股）：成本最高（34.10 元）。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其次卖出批次B可卖部分（2,000 股）：成本 27.60 元。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差额部分才动用批次A（最低成本 18.20 元）：达标所需最小差额约 2,600 股。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偏好冲突提示：客户“股价回到 34 元以前先卖”与“尽量保留批次A”在 29.2–31.4 元价位下无法同时完全满足——批次B可卖仅 2,000 股，无法覆盖约 12,600 股的需求。默认建议按“C→B→A”顺序执行以最大化保留批次A；若客户坚持 34 元前不卖批次C，则约 8,000 股缺口将转移至批次A，需客户经理与客户确认。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（三）分阶段安排（时间轴）：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阶段一（8-26 至 10-29）：现有现金 150,000 元足以覆盖首笔 120,000 元，无需为支付强制卖出；但为降低 85% 的集中度并锁定资金，建议按情景分批卖出批次C与批次B可卖部分合计约 10,000 股，单日不超过 6,000 股。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阶段二（10-30 至 11-14）：10-30 支付首笔 120,000 元后现金约 30,000 元＋阶段一净收入；继续卖出达标所需差额（约 2,600 股，来自批次A），确保 11-15 前现金 ≥ 180,000 元（100,000 支付＋80,000 保留）。11-15 第二笔支付后占比应 ≤ 60%。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阶段三（11-15 之后）：维持占比 ≤ 60%；11-30 质押解除仅为“申请日”、12-8 解禁为市场事件，均不作为本账户可交易数量假设；若 S04 触发，则执行 40% 降仓。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（四）情景处理表（触发条件 / 可执行数量 / 现金变化 / 处理后持仓比例）：</w:t>
      </w:r>
    </w:p>
    <w:p>
      <w:pPr>
        <w:spacing w:after="80"/>
      </w:pPr>
      <w:r>
        <w:rPr>
          <w:rFonts w:ascii="Calibri" w:hAnsi="Calibri" w:eastAsia="宋体"/>
          <w:b w:val="0"/>
          <w:sz w:val="19"/>
        </w:rPr>
        <w:t>说明：下表“建议累计卖出”为达到集中度目标所需数量；“卖出净额”已扣费用（佣金 0.03%、单笔最低 5 元＋印花税 0.05%，合计约 0.08%）；“两笔支付后现金”= 150,000 ＋ 卖出净额 − 220,000；“处理后持仓比例”按情景参考价测算。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情景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触发条件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参考价/有效单日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建议累计卖出(股)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卖出净额(元)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两笔支付后现金(元)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处理后持仓(剩余股/占比)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S01 正常波动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价格维持 29.80–33.60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31.40元 / 6,000股(约3日：6000+6000+600)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12,600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395,323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325,323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剩15,400股 / 59.78%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S02 跌破支撑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收盘跌破 29.80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29.20元 / 4,000股(约4日：4000×3+700)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12,700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370,543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300,543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剩15,300股 / 59.78%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S03 价格回升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收盘达到或高于 33.60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34.00元 / 6,000股(约3日：6000+6000+500)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12,500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424,660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354,660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剩15,500股 / 59.77%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S04 跌破风险线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连续两日收盘低于 27.50，5日内降至&lt;40%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26.80元 / 3,000股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40%目标约17,900(约6日)；5日窗口最多约15,000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17,900→479,336；15,000→401,678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17,900→409,336；15,000→331,678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17,900→剩10,100股/39.80%；15,000→剩13,000股/51.23%(未达标)</w:t>
            </w:r>
          </w:p>
        </w:tc>
      </w:tr>
    </w:tbl>
    <w:p>
      <w:pPr>
        <w:spacing w:after="80"/>
      </w:pPr>
      <w:r>
        <w:rPr>
          <w:rFonts w:ascii="Calibri" w:hAnsi="Calibri" w:eastAsia="宋体"/>
          <w:b w:val="0"/>
          <w:sz w:val="21"/>
        </w:rPr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S03 回升：价格触及 34 元附近，最贴合客户“回到 34 再卖”的偏好，可优先卖出批次C（成本 34.10 元，接近盈亏平衡），尽量不动批次A；单日仍受客户 6,000 股上限约束。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S04 风险线：40% 目标约 17,900 股，需约 6 个交易日；若严格限五个交易日、日均可成交 3,000 股，最多约 15,000 股，处理后占比约 51.23%，仍高于 40%，存在执行缺口。应优先执行、尽早启动，并向客户经理提示“五个交易日内可能无法足额降至 40%”这一限制。若此前已按正常情景减持至约 15,400 股，则触发后需再卖出约 4,400 股即可降至 40% 以下（约两个交易日）。</w:t>
      </w:r>
    </w:p>
    <w:p>
      <w:pPr>
        <w:spacing w:after="120"/>
      </w:pPr>
      <w:r>
        <w:rPr>
          <w:rFonts w:ascii="Calibri" w:hAnsi="Calibri" w:eastAsia="宋体"/>
          <w:b/>
          <w:sz w:val="26"/>
        </w:rPr>
        <w:t>六、风险提示与假设边界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本备忘录仅使用附件行情（截点 31.40 元及情景参考价 31.40/29.20/34.00/26.80 元），未使用附件外行情。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情景参考价与日均可成交量为附件给出的估计值，仅用于测算，不保证出现；不承诺收益、不承诺成交价格或成交数量。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交易费用按附件口径：卖出佣金 0.03%（单笔最低 5 元）、卖出印花税 0.05%；测算中合并按约 0.08% 计算，小额零股时佣金最低 5 元可能改变结果。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未将质押 6,000 股计入可交易数量，未将质押解除登记视为既定事实；未将 8-26 当日买入的 2,000 股计入截点可卖数量。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1"/>
        </w:rPr>
        <w:t>本备忘录仅提出分批卖出条件与测算安排，不代表任何交易已发出或已完成；具体执行须由客户确认并另行下单。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