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单一重仓持仓处理备忘录</w:t>
      </w:r>
    </w:p>
    <w:p>
      <w:pPr>
        <w:spacing w:after="40"/>
        <w:jc w:val="center"/>
      </w:pPr>
      <w:r>
        <w:rPr>
          <w:rFonts w:ascii="宋体" w:hAnsi="宋体" w:eastAsia="宋体"/>
          <w:sz w:val="20"/>
        </w:rPr>
        <w:t>记录截点：2026年8月26日10:30（北京时间）</w:t>
      </w:r>
    </w:p>
    <w:p>
      <w:pPr>
        <w:spacing w:after="40"/>
        <w:jc w:val="center"/>
      </w:pPr>
      <w:r>
        <w:rPr>
          <w:rFonts w:ascii="宋体" w:hAnsi="宋体" w:eastAsia="宋体"/>
          <w:sz w:val="20"/>
        </w:rPr>
        <w:t>标的代码：S01</w:t>
      </w:r>
    </w:p>
    <w:p>
      <w:pPr>
        <w:spacing w:after="40"/>
        <w:jc w:val="center"/>
      </w:pPr>
      <w:r>
        <w:rPr>
          <w:rFonts w:ascii="宋体" w:hAnsi="宋体" w:eastAsia="宋体"/>
          <w:sz w:val="20"/>
        </w:rPr>
        <w:t>文档用途：供客户经理下一次客户沟通使用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一、当前持仓与盈亏概况</w:t>
      </w:r>
    </w:p>
    <w:p>
      <w:pPr>
        <w:pStyle w:val="Heading2"/>
      </w:pPr>
      <w:r>
        <w:rPr>
          <w:rFonts w:ascii="黑体" w:hAnsi="黑体" w:eastAsia="黑体"/>
          <w:color w:val="000000"/>
        </w:rPr>
        <w:t>1.1 账户资产概览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535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持有股数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28,000股</w:t>
            </w:r>
          </w:p>
        </w:tc>
      </w:tr>
      <w:tr>
        <w:tc>
          <w:tcPr>
            <w:tcW w:type="dxa" w:w="4535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盘中参考价（8月26日10:30）</w:t>
            </w:r>
          </w:p>
        </w:tc>
        <w:tc>
          <w:tcPr>
            <w:tcW w:type="dxa" w:w="3402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31.40元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证券市值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879,200元</w:t>
            </w:r>
          </w:p>
        </w:tc>
      </w:tr>
      <w:tr>
        <w:tc>
          <w:tcPr>
            <w:tcW w:type="dxa" w:w="4535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账户现金</w:t>
            </w:r>
          </w:p>
        </w:tc>
        <w:tc>
          <w:tcPr>
            <w:tcW w:type="dxa" w:w="3402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150,000元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账户资产合计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1,029,200元</w:t>
            </w:r>
          </w:p>
        </w:tc>
      </w:tr>
      <w:tr>
        <w:tc>
          <w:tcPr>
            <w:tcW w:type="dxa" w:w="4535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其他证券/融资/借款</w:t>
            </w:r>
          </w:p>
        </w:tc>
        <w:tc>
          <w:tcPr>
            <w:tcW w:type="dxa" w:w="3402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无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1.2 分批次持仓盈亏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批次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股数</w:t>
            </w:r>
          </w:p>
        </w:tc>
        <w:tc>
          <w:tcPr>
            <w:tcW w:type="dxa" w:w="124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单位成本(元)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成本总额(元)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当前市值(元)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浮动盈亏(元)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盈亏比例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12,000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18.20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218,400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376,800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+158,400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+72.53%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8,000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27.60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220,800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251,200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+30,400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+13.77%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8,000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34.10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272,800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251,200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-21,600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-7.92%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合计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28,000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712,000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879,200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+167,200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+23.48%</w:t>
            </w:r>
          </w:p>
        </w:tc>
      </w:tr>
    </w:tbl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19"/>
        </w:rPr>
        <w:t>说明：批次A为早期买入的低成本仓位，浮盈丰厚；批次C为高成本仓位，当前处于浮亏状态。整体持仓浮动盈利167,200元，盈利率23.48%。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二、各批次可交易状态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680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批次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总股数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立即可卖(股)</w:t>
            </w:r>
          </w:p>
        </w:tc>
        <w:tc>
          <w:tcPr>
            <w:tcW w:type="dxa" w:w="1020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受限股份(股)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受限原因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预计可卖时间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12,000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12,000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无质押、无限售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即时</w:t>
            </w:r>
          </w:p>
        </w:tc>
      </w:tr>
      <w:tr>
        <w:tc>
          <w:tcPr>
            <w:tcW w:type="dxa" w:w="680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8,000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2,000</w:t>
            </w:r>
          </w:p>
        </w:tc>
        <w:tc>
          <w:tcPr>
            <w:tcW w:type="dxa" w:w="1020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6,000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已办理质押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2026-11-30后可申请解除，能否当日完成登记尚未确认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8,000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6,000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2,000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当日买入（T+1）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2026-08-27起可卖</w:t>
            </w:r>
          </w:p>
        </w:tc>
      </w:tr>
      <w:tr>
        <w:tc>
          <w:tcPr>
            <w:tcW w:type="dxa" w:w="680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合计</w:t>
            </w:r>
          </w:p>
        </w:tc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28,000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20,000</w:t>
            </w:r>
          </w:p>
        </w:tc>
        <w:tc>
          <w:tcPr>
            <w:tcW w:type="dxa" w:w="1020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8,000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b/>
          <w:sz w:val="21"/>
        </w:rPr>
        <w:t>重要提示：</w:t>
      </w:r>
    </w:p>
    <w:p>
      <w:pPr>
        <w:pStyle w:val="ListBullet"/>
        <w:spacing w:after="60" w:line="312" w:lineRule="auto"/>
      </w:pPr>
      <w:r>
        <w:rPr>
          <w:rFonts w:ascii="宋体" w:hAnsi="宋体" w:eastAsia="宋体"/>
          <w:sz w:val="20"/>
        </w:rPr>
        <w:t>未质押股份不等于立即可卖股份。批次C中2,000股因2026年8月26日当日买入，受T+1交易规则限制当日不可卖，8月27日起方可卖出。</w:t>
      </w:r>
    </w:p>
    <w:p>
      <w:pPr>
        <w:pStyle w:val="ListBullet"/>
        <w:spacing w:after="60" w:line="312" w:lineRule="auto"/>
      </w:pPr>
      <w:r>
        <w:rPr>
          <w:rFonts w:ascii="宋体" w:hAnsi="宋体" w:eastAsia="宋体"/>
          <w:sz w:val="20"/>
        </w:rPr>
        <w:t>批次B中6,000股质押的解除仅为申请日（2026年11月30日），能否当日完成登记尚未确认，不得作为质押已解除的既定事实。</w:t>
      </w:r>
    </w:p>
    <w:p>
      <w:pPr>
        <w:pStyle w:val="ListBullet"/>
        <w:spacing w:after="60" w:line="312" w:lineRule="auto"/>
      </w:pPr>
      <w:r>
        <w:rPr>
          <w:rFonts w:ascii="宋体" w:hAnsi="宋体" w:eastAsia="宋体"/>
          <w:sz w:val="20"/>
        </w:rPr>
        <w:t>截至8月26日10:30，立即可卖数量为20,000股；8月27日起可卖数量增加至22,000股。交易数量按100股整数处理。</w:t>
      </w:r>
    </w:p>
    <w:p>
      <w:pPr>
        <w:pStyle w:val="ListBullet"/>
        <w:spacing w:after="60" w:line="312" w:lineRule="auto"/>
      </w:pPr>
      <w:r>
        <w:rPr>
          <w:rFonts w:ascii="宋体" w:hAnsi="宋体" w:eastAsia="宋体"/>
          <w:sz w:val="20"/>
        </w:rPr>
        <w:t>非A批次（B+C）在8月27日后最多可卖10,000股（B可卖2,000 + C可卖6,000 + C当日买入2,000）。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三、现金缺口与集中度约束的关系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未来现金需求与缺口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3969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截止日期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金额(元)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第一笔教育费用支付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2026-10-30前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120,000</w:t>
            </w:r>
          </w:p>
        </w:tc>
      </w:tr>
      <w:tr>
        <w:tc>
          <w:tcPr>
            <w:tcW w:type="dxa" w:w="3969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第二笔教育费用支付</w:t>
            </w:r>
          </w:p>
        </w:tc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2026-11-15前</w:t>
            </w:r>
          </w:p>
        </w:tc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支付后最低现金保留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2026-11-15后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80,000</w:t>
            </w:r>
          </w:p>
        </w:tc>
      </w:tr>
      <w:tr>
        <w:tc>
          <w:tcPr>
            <w:tcW w:type="dxa" w:w="3969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现金需求合计</w:t>
            </w:r>
          </w:p>
        </w:tc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300,000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当前现金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150,000</w:t>
            </w:r>
          </w:p>
        </w:tc>
      </w:tr>
      <w:tr>
        <w:tc>
          <w:tcPr>
            <w:tcW w:type="dxa" w:w="3969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现金缺口（需通过卖出筹集）</w:t>
            </w:r>
          </w:p>
        </w:tc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150,000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3.2 集中度约束</w:t>
      </w:r>
    </w:p>
    <w:p>
      <w:pPr>
        <w:pStyle w:val="ListBullet"/>
        <w:spacing w:after="60" w:line="312" w:lineRule="auto"/>
      </w:pPr>
      <w:r>
        <w:rPr>
          <w:rFonts w:ascii="宋体" w:hAnsi="宋体" w:eastAsia="宋体"/>
          <w:sz w:val="20"/>
        </w:rPr>
        <w:t>日常约束：单一证券市值不得超过账户总资产的60%，且该比例应在2026年11月15日第二笔资金支付后仍然满足。</w:t>
      </w:r>
    </w:p>
    <w:p>
      <w:pPr>
        <w:pStyle w:val="ListBullet"/>
        <w:spacing w:after="60" w:line="312" w:lineRule="auto"/>
      </w:pPr>
      <w:r>
        <w:rPr>
          <w:rFonts w:ascii="宋体" w:hAnsi="宋体" w:eastAsia="宋体"/>
          <w:sz w:val="20"/>
        </w:rPr>
        <w:t>极端下行触发：若连续两个交易日收盘价低于27.50元，应在可交易的前提下，于五个交易日内将单一证券占比降至40%以下。</w:t>
      </w:r>
    </w:p>
    <w:p>
      <w:pPr>
        <w:pStyle w:val="ListBullet"/>
        <w:spacing w:after="60" w:line="312" w:lineRule="auto"/>
      </w:pPr>
      <w:r>
        <w:rPr>
          <w:rFonts w:ascii="宋体" w:hAnsi="宋体" w:eastAsia="宋体"/>
          <w:sz w:val="20"/>
        </w:rPr>
        <w:t>当前集中度：879,200 / 1,029,200 = 85.43%，远超60%的约束上限。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现金支付与集中度的联动关系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0"/>
        </w:rPr>
        <w:t>支付教育费用会减少账户现金、降低总资产，从而推高单一证券集中度。二者存在以下联动关系：</w:t>
      </w:r>
    </w:p>
    <w:p>
      <w:pPr>
        <w:pStyle w:val="ListBullet"/>
        <w:spacing w:after="60" w:line="312" w:lineRule="auto"/>
      </w:pPr>
      <w:r>
        <w:rPr>
          <w:rFonts w:ascii="宋体" w:hAnsi="宋体" w:eastAsia="宋体"/>
          <w:sz w:val="20"/>
        </w:rPr>
        <w:t>仅满足现金缺口（按31.40元需卖出约4,800股）不足以将集中度降至60%以下——支付前集中度约77.6%，支付后进一步上升。</w:t>
      </w:r>
    </w:p>
    <w:p>
      <w:pPr>
        <w:pStyle w:val="ListBullet"/>
        <w:spacing w:after="60" w:line="312" w:lineRule="auto"/>
      </w:pPr>
      <w:r>
        <w:rPr>
          <w:rFonts w:ascii="宋体" w:hAnsi="宋体" w:eastAsia="宋体"/>
          <w:sz w:val="20"/>
        </w:rPr>
        <w:t>要在11月15日支付后仍满足60%集中度，按当前价格31.40元计算需卖出约12,600股，远高于仅满足现金缺口所需的数量。</w:t>
      </w:r>
    </w:p>
    <w:p>
      <w:pPr>
        <w:pStyle w:val="ListBullet"/>
        <w:spacing w:after="60" w:line="312" w:lineRule="auto"/>
      </w:pPr>
      <w:r>
        <w:rPr>
          <w:rFonts w:ascii="宋体" w:hAnsi="宋体" w:eastAsia="宋体"/>
          <w:sz w:val="20"/>
        </w:rPr>
        <w:t>非A批次（B+C）在8月27日后最多可卖10,000股，因此满足集中度约束必须动用批次A至少约2,600股。这与客户"尽量保留批次A低成本仓位"的偏好存在直接冲突，需在沟通中明确说明。</w:t>
      </w:r>
    </w:p>
    <w:p>
      <w:pPr>
        <w:pStyle w:val="ListBullet"/>
        <w:spacing w:after="60" w:line="312" w:lineRule="auto"/>
      </w:pPr>
      <w:r>
        <w:rPr>
          <w:rFonts w:ascii="宋体" w:hAnsi="宋体" w:eastAsia="宋体"/>
          <w:sz w:val="20"/>
        </w:rPr>
        <w:t>价格越低，满足相同集中度所需卖出的股数越多；同时日均可成交量下降，执行窗口拉长，形成"越跌越要卖、越跌越难卖"的被动局面。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四、价格情景与分阶段处理安排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19"/>
        </w:rPr>
        <w:t>以下情景均来自附件《持仓标的价格与事件.xlsx》，参考价格与日均可成交量为估计值，不保证成交，情景价格不一定出现。卖出费用按佣金0.03%（单笔最低5元）+印花税0.05%计算，合计约0.08%（单笔成交额≥16,667元时佣金超过最低5元）。客户单日卖出上限为6,000股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情景S01：价格维持29.80—33.60（当前情景，正常波动）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触发条件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价格在29.80元（前期支撑位）至33.60元（前期压力位）区间波动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参考价格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31.40元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日均可成交量估计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6,000股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客户单日卖出上限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6,000股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是否保证成交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b/>
          <w:sz w:val="21"/>
        </w:rPr>
        <w:t>分阶段处理安排：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0"/>
        </w:rPr>
        <w:t>阶段一（8月26日—9月18日中期业绩说明会前）：优先卖出非A批次全部可卖股份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执行项</w:t>
            </w:r>
          </w:p>
        </w:tc>
        <w:tc>
          <w:tcPr>
            <w:tcW w:type="dxa" w:w="708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卖出标的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批次C可卖6,000股（6月12日买入，高成本浮亏仓位）+ 批次B可卖2,000股 + 批次C当日买入2,000股（8月27日起可卖）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卖出数量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合计10,000股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执行节奏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分2个交易日：第1天卖出6,000股（批次C可卖部分），第2天卖出4,000股（批次B 2,000 + 批次C当日买入2,000）。每日不超过6,000股。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预计毛收入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10,000 × 31.40 = 314,000元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预计交易费用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约251元（佣金+印花税）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预计净收入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约313,749元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卖出后现金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150,000 + 313,749 = 463,749元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剩余股数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18,000股（批次A 12,000 + 批次B质押6,000）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剩余市值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18,000 × 31.40 = 565,200元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支付前集中度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565,200 / 1,028,949 = 54.92%（已低于60%）</w:t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b/>
          <w:sz w:val="20"/>
        </w:rPr>
        <w:t>阶段二（10月30日第一笔支付前后—11月15日第二笔支付前）：根据价格情况减持批次A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执行项</w:t>
            </w:r>
          </w:p>
        </w:tc>
        <w:tc>
          <w:tcPr>
            <w:tcW w:type="dxa" w:w="708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卖出标的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批次A 2,600股（客户希望保留的低成本仓位，需沟通确认）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卖出数量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2,600股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执行节奏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1个交易日内完成（≤6,000股）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预计毛收入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2,600 × 31.40 = 81,640元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预计交易费用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约65元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预计净收入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约81,575元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累计卖出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12,600股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累计净收入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约395,324元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支付两笔教育费后现金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150,000 + 395,324 - 220,000 = 325,324元（≥80,000 ✓）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剩余股数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15,400股（批次A保留9,400股 + 批次B质押6,000股）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剩余市值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15,400 × 31.40 = 483,560元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支付后总资产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483,560 + 325,324 = 808,884元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支付后集中度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483,560 / 808,884 = 59.78%（≤60% ✓）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4.2 情景S02：收盘跌破29.80（跌破风险线）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触发条件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收盘价跌破29.80元（前期支撑位）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参考价格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29.20元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日均可成交量估计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4,000股（波动放大、成交假设降低）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客户单日卖出上限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6,000股（实际受日均可成交4,000股限制）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是否保证成交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执行项</w:t>
            </w:r>
          </w:p>
        </w:tc>
        <w:tc>
          <w:tcPr>
            <w:tcW w:type="dxa" w:w="708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处理原则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价格跌破支撑位后波动可能放大，应加快减持节奏，避免集中度进一步恶化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需卖出总数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约12,700股（支付后满足60%集中度）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卖出结构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非A批次10,000股 + 批次A 2,700股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批次A保留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9,300股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执行节奏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受日均可成交4,000股限制，需约4个交易日；建议在接近29.80元时提前启动阶段一卖出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预计净收入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约370,543元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支付后现金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约300,543元（≥80,000 ✓）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剩余股数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15,300股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支付后市值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15,300 × 29.20 = 446,760元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支付后总资产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约747,303元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支付后集中度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约59.78%（≤60% ✓）</w:t>
            </w:r>
          </w:p>
        </w:tc>
      </w:tr>
    </w:tbl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19"/>
        </w:rPr>
        <w:t>风险提示：此情景下价格下跌导致市值缩水，需卖出更多股份；同时日均可成交量下降，执行难度增加。若跌破29.80后继续下行至27.50元以下，将触发更严格的40%集中度要求（见S04）。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4.3 情景S03：收盘达到或高于33.60（价格回升）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触发条件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收盘价达到或高于33.60元（前期压力位）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参考价格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34.00元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日均可成交量估计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8,000股（放量日的保守比例）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客户单日卖出上限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6,000股（实际受客户限制，低于日均可成交）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是否保证成交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执行项</w:t>
            </w:r>
          </w:p>
        </w:tc>
        <w:tc>
          <w:tcPr>
            <w:tcW w:type="dxa" w:w="708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处理原则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价格达到客户"34元"心理价位，客户卖出意愿可能增强；这是相对最优的卖出窗口，价格较高且流动性较好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需卖出总数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约12,500股（支付后满足60%集中度）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卖出结构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非A批次10,000股 + 批次A 2,500股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批次A保留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9,500股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执行节奏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受客户单日6,000股限制，需约3个交易日；建议价格触及33.60元后优先完成非A批次卖出，并与客户沟通批次A的部分减持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预计净收入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约424,660元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支付后现金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约354,660元（≥80,000 ✓）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剩余股数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15,500股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支付后市值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15,500 × 34.00 = 527,000元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支付后总资产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约881,660元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支付后集中度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约59.77%（≤60% ✓）</w:t>
            </w:r>
          </w:p>
        </w:tc>
      </w:tr>
    </w:tbl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19"/>
        </w:rPr>
        <w:t>沟通要点：此情景下价格达到客户提出的"34元"参考位，可结合客户偏好顺势完成减持。但需注意"股价没有回到34元以前先不卖"属于客户偏好，不是风险限额例外；若价格未达34元而支付时限临近，仍需在支付前完成足够卖出以满足集中度约束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4.4 情景S04：连续两日收盘低于27.50（极端下行）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触发条件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连续两个交易日收盘价低于27.50元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参考价格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26.80元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日均可成交量估计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3,000股（极端下行情景）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客户单日卖出上限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6,000股（实际受日均可成交3,000股限制）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强制要求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触发后五个交易日内将单一证券占比降至40%以下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是否保证成交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执行项</w:t>
            </w:r>
          </w:p>
        </w:tc>
        <w:tc>
          <w:tcPr>
            <w:tcW w:type="dxa" w:w="708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处理原则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此为风险要求中明确规定的强制降仓情景，需在触发后立即启动卖出，优先卖出非A批次，再卖出批次A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需卖出总数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约14,600股（支付前满足40%集中度）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卖出结构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非A批次10,000股 + 批次A 4,600股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批次A保留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7,400股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执行节奏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受日均可成交3,000股限制，五个交易日最多可成交15,000股，需卖出14,600股，执行窗口极为紧张；需在触发当日即开始卖出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预计净收入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约390,967元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卖出后现金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150,000 + 390,967 = 540,967元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剩余股数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13,400股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剩余市值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13,400 × 26.80 = 359,120元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卖出后总资产</w:t>
            </w:r>
          </w:p>
        </w:tc>
        <w:tc>
          <w:tcPr>
            <w:tcW w:type="dxa" w:w="708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约900,087元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卖出后集中度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约39.90%（≤40% ✓）</w:t>
            </w:r>
          </w:p>
        </w:tc>
      </w:tr>
    </w:tbl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19"/>
        </w:rPr>
        <w:t>特别提示：此情景下执行最为紧张，五个交易日的时间窗口与日均可成交3,000股的流动性限制叠加，几乎没有容错空间。若批次B的6,000股质押已解除（需以实际登记确认为准），可增加可卖数量、缓解执行压力；但不得将质押解除作为既定事实提前计入可卖数量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五、客户偏好与约束冲突说明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0"/>
        </w:rPr>
        <w:t>• 保留批次A偏好 vs 集中度约束：</w:t>
      </w:r>
      <w:r>
        <w:rPr>
          <w:rFonts w:ascii="宋体" w:hAnsi="宋体" w:eastAsia="宋体"/>
          <w:sz w:val="20"/>
        </w:rPr>
        <w:t>客户希望尽量保留批次A（12,000股低成本仓位），但满足11月15日支付后60%集中度需卖出约12,500—12,700股，非A批次可卖仅10,000股，必须动用批次A约2,500—2,700股。在S04极端下行情景下，需动用批次A多达4,600股。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0"/>
        </w:rPr>
        <w:t>• "34元以下不卖"偏好 vs 支付时限：</w:t>
      </w:r>
      <w:r>
        <w:rPr>
          <w:rFonts w:ascii="宋体" w:hAnsi="宋体" w:eastAsia="宋体"/>
          <w:sz w:val="20"/>
        </w:rPr>
        <w:t>客户提出"股价没有回到34元以前先不卖"，但教育费用支付有明确时限（10月30日、11月15日）。若价格未达34元，仍需在支付前完成足够卖出以满足现金需求和集中度约束。该表述属于客户偏好，不是风险限额例外。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0"/>
        </w:rPr>
        <w:t>• 单日卖出6,000股上限 vs 执行窗口：</w:t>
      </w:r>
      <w:r>
        <w:rPr>
          <w:rFonts w:ascii="宋体" w:hAnsi="宋体" w:eastAsia="宋体"/>
          <w:sz w:val="20"/>
        </w:rPr>
        <w:t>客户不希望单日卖出超过6,000股。在S02（日均可成交4,000股）和S04（日均可成交3,000股）情景下，实际执行受市场流动性限制更为严格，完成全部减持需要4—5个交易日，需提前规划、尽早启动。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0"/>
        </w:rPr>
        <w:t>• 不接受补仓 vs 集中度改善：</w:t>
      </w:r>
      <w:r>
        <w:rPr>
          <w:rFonts w:ascii="宋体" w:hAnsi="宋体" w:eastAsia="宋体"/>
          <w:sz w:val="20"/>
        </w:rPr>
        <w:t>客户不接受补仓。补仓可通过增加总资产分母来降低集中度，但客户明确拒绝，因此只能通过卖出减持来改善集中度，这进一步加大了批次A的减持压力。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六、重要事项日历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4252"/>
            <w:shd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对持仓处理的影响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2026-09-18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中期业绩说明会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日期已确认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波动可能放大，建议在此前完成阶段一（非A批次）卖出</w:t>
            </w:r>
          </w:p>
        </w:tc>
      </w:tr>
      <w:tr>
        <w:tc>
          <w:tcPr>
            <w:tcW w:type="dxa" w:w="1417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2026-10-30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第一笔教育费用支付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金额已确认</w:t>
            </w:r>
          </w:p>
        </w:tc>
        <w:tc>
          <w:tcPr>
            <w:tcW w:type="dxa" w:w="4252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需支付120,000元，支付前应确保现金充足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2026-11-15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第二笔教育费用支付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金额已确认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需支付100,000元；支付后集中度仍需≤60%，是关键校验时点</w:t>
            </w:r>
          </w:p>
        </w:tc>
      </w:tr>
      <w:tr>
        <w:tc>
          <w:tcPr>
            <w:tcW w:type="dxa" w:w="1417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2026-11-30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6,000股质押解除申请日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仅为申请日</w:t>
            </w:r>
          </w:p>
        </w:tc>
        <w:tc>
          <w:tcPr>
            <w:tcW w:type="dxa" w:w="4252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能否当日完成登记尚未确认，不得作为已解除的既定事实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2026-12-08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年度限售批次解禁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登记日已确认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持仓记录中未明确标注该限售批次对应的具体股份，需与客户进一步确认；解禁后仍按交易规则处理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七、风险提示与免责声明</w:t>
      </w:r>
    </w:p>
    <w:p>
      <w:pPr>
        <w:spacing w:after="60" w:line="312" w:lineRule="auto"/>
      </w:pPr>
      <w:r>
        <w:rPr>
          <w:rFonts w:ascii="宋体" w:hAnsi="宋体" w:eastAsia="宋体"/>
          <w:sz w:val="19"/>
        </w:rPr>
        <w:t>1. 本备忘录基于2026年8月26日10:30的盘中价格与附件信息编制，价格与市场情况随时变化，后续需根据最新行情动态调整。</w:t>
      </w:r>
    </w:p>
    <w:p>
      <w:pPr>
        <w:spacing w:after="60" w:line="312" w:lineRule="auto"/>
      </w:pPr>
      <w:r>
        <w:rPr>
          <w:rFonts w:ascii="宋体" w:hAnsi="宋体" w:eastAsia="宋体"/>
          <w:sz w:val="19"/>
        </w:rPr>
        <w:t>2. 所有情景中的参考价格与日均可成交量均为基于历史数据的估计值，不保证成交，情景价格不一定出现。实际可成交数量受市场流动性、买卖盘深度等因素影响。</w:t>
      </w:r>
    </w:p>
    <w:p>
      <w:pPr>
        <w:spacing w:after="60" w:line="312" w:lineRule="auto"/>
      </w:pPr>
      <w:r>
        <w:rPr>
          <w:rFonts w:ascii="宋体" w:hAnsi="宋体" w:eastAsia="宋体"/>
          <w:sz w:val="19"/>
        </w:rPr>
        <w:t>3. 卖出数量按100股整数处理。交易费用（佣金0.03%+印花税0.05%）已纳入估算，佣金单笔最低5元，实际费用以券商结算为准。</w:t>
      </w:r>
    </w:p>
    <w:p>
      <w:pPr>
        <w:spacing w:after="60" w:line="312" w:lineRule="auto"/>
      </w:pPr>
      <w:r>
        <w:rPr>
          <w:rFonts w:ascii="宋体" w:hAnsi="宋体" w:eastAsia="宋体"/>
          <w:sz w:val="19"/>
        </w:rPr>
        <w:t>4. 批次B中6,000股质押的解除仅为申请日（2026年11月30日），能否当日完成登记尚未确认，本备忘录未将其计入立即可卖数量。</w:t>
      </w:r>
    </w:p>
    <w:p>
      <w:pPr>
        <w:spacing w:after="60" w:line="312" w:lineRule="auto"/>
      </w:pPr>
      <w:r>
        <w:rPr>
          <w:rFonts w:ascii="宋体" w:hAnsi="宋体" w:eastAsia="宋体"/>
          <w:sz w:val="19"/>
        </w:rPr>
        <w:t>5. 未质押股份不等于立即可卖股份，批次C中2,000股因当日买入受T+1规则限制不可卖。</w:t>
      </w:r>
    </w:p>
    <w:p>
      <w:pPr>
        <w:spacing w:after="60" w:line="312" w:lineRule="auto"/>
      </w:pPr>
      <w:r>
        <w:rPr>
          <w:rFonts w:ascii="宋体" w:hAnsi="宋体" w:eastAsia="宋体"/>
          <w:sz w:val="19"/>
        </w:rPr>
        <w:t>6. 本备忘录中所有分阶段处理安排均为分析建议，不构成交易指令；分析可以安排分批卖出条件，但不得写成交易已经发出或完成。</w:t>
      </w:r>
    </w:p>
    <w:p>
      <w:pPr>
        <w:spacing w:after="60" w:line="312" w:lineRule="auto"/>
      </w:pPr>
      <w:r>
        <w:rPr>
          <w:rFonts w:ascii="宋体" w:hAnsi="宋体" w:eastAsia="宋体"/>
          <w:sz w:val="19"/>
        </w:rPr>
        <w:t>7. 本备忘录不构成投资建议，不承诺收益或成交结果，最终决策由客户自行做出。价格和成交量以《持仓标的价格与事件.xlsx》为准，未使用附件外行情数据。</w:t>
      </w:r>
    </w:p>
    <w:p>
      <w:pPr>
        <w:spacing w:after="60" w:line="312" w:lineRule="auto"/>
      </w:pPr>
      <w:r>
        <w:rPr>
          <w:rFonts w:ascii="宋体" w:hAnsi="宋体" w:eastAsia="宋体"/>
          <w:sz w:val="19"/>
        </w:rPr>
        <w:t>8. 客户提出的"尽量保留批次A""34元以下不卖"等表述属于客户偏好，不是风险限额例外；当客户偏好与风险约束冲突时，应以风险约束为底线，并与客户充分沟通。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