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单一重仓持仓处理备忘录</w:t>
      </w:r>
    </w:p>
    <w:p>
      <w:r>
        <w:rPr>
          <w:b w:val="0"/>
          <w:sz w:val="21"/>
        </w:rPr>
        <w:t>记录截点：2026年8月26日（周三）10:30 北京时间｜标的 S01｜用途：客户经理下一次沟通参考</w:t>
      </w:r>
    </w:p>
    <w:p>
      <w:r>
        <w:rPr>
          <w:b/>
          <w:sz w:val="21"/>
        </w:rPr>
        <w:t>性质：持仓诊断与交易纪律建议，不构成已下达委托，不承诺成交或收益。所有价格与成交量仅取自《持仓标的价格与事件.xlsx》。</w:t>
      </w:r>
    </w:p>
    <w:p>
      <w:pPr>
        <w:pStyle w:val="Heading1"/>
      </w:pPr>
      <w:r>
        <w:t>一、决策摘要（结论先行）</w:t>
      </w:r>
    </w:p>
    <w:p>
      <w:r>
        <w:rPr>
          <w:b w:val="0"/>
          <w:sz w:val="21"/>
        </w:rPr>
        <w:t>1. 当前 S01 持 28,000 股，按 8月26日盘中参考价 31.40 元计市值 879,200 元，现金 150,000 元，账户总资产 1,029,200 元，单票权重已达 85.43%，远超 60% 上限。</w:t>
      </w:r>
    </w:p>
    <w:p>
      <w:r>
        <w:rPr>
          <w:b w:val="0"/>
          <w:sz w:val="21"/>
        </w:rPr>
        <w:t>2. 最紧约束不是现金，而是集中度：两笔教育款合计 220,000 元在 10月30日、11月15日支付后，单票权重反而会因分母收缩而抬升，必须在支付前主动减仓，才能在 11月15日后仍把权重压到 60% 以下。</w:t>
      </w:r>
    </w:p>
    <w:p>
      <w:r>
        <w:rPr>
          <w:b w:val="0"/>
          <w:sz w:val="21"/>
        </w:rPr>
        <w:t>3. 首要动作：在 29.80–33.60 元正常区间内（S01），按客户"尽量保留批次A"的偏好，先卖可卖的 C 旧仓 6,000 股、B 未质押 2,000 股，再从 A 卖 4,600 股，合计 12,600 股；预计成交额 395,640 元、费用 316.5 元、净回笼 395,323 元，11月15日支付后权重 59.78%、现金 325,323 元。</w:t>
      </w:r>
    </w:p>
    <w:p>
      <w:r>
        <w:rPr>
          <w:b w:val="0"/>
          <w:sz w:val="21"/>
        </w:rPr>
        <w:t>4. 最迟行动日：第二笔款 11月15日为周日，资金须于 11月13日（周五）前备妥可划转；全部减仓应不晚于该日完成。第一笔款 120,000 元由现有现金即可覆盖，无需因此提前抛售。</w:t>
      </w:r>
    </w:p>
    <w:p>
      <w:r>
        <w:rPr>
          <w:b w:val="0"/>
          <w:sz w:val="21"/>
        </w:rPr>
        <w:t>5. 客户"没回到34元以前先不卖"属偏好、非风险豁免；在 31.40 元现价下，60% 硬约束与付款期限不允许等待，本方案已把对 A 的动用压到最低（仅 4,600 股，A 余 7,400 股）。</w:t>
      </w:r>
    </w:p>
    <w:p>
      <w:pPr>
        <w:pStyle w:val="Heading1"/>
      </w:pPr>
      <w:r>
        <w:t>二、持仓勾稽与盈亏</w:t>
      </w:r>
    </w:p>
    <w:p>
      <w:r>
        <w:rPr>
          <w:b w:val="0"/>
          <w:sz w:val="21"/>
        </w:rPr>
        <w:t>账户无其他证券、无融资融券。市值+现金=879,200+150,000=1,029,200 元，与记录资产合计一致，无勾稽残差。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股数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单位成本(元)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成本金额(元)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当前状态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批次A（2024-04-18买入）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12,000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18.20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218,400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无质押/限售，可卖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批次B（2025-11-06买入）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8,000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27.60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220,800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其中6,000股质押，2,000股可卖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批次C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8,000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34.10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272,800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6,000股(6/12买)可卖；2,000股(8/26当日买)当日不可卖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合计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28,000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加权25.43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712,000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市值879,200，浮动盈利167,200元</w:t>
            </w:r>
          </w:p>
        </w:tc>
      </w:tr>
    </w:tbl>
    <w:p>
      <w:r>
        <w:rPr>
          <w:b w:val="0"/>
          <w:sz w:val="21"/>
        </w:rPr>
        <w:t>可卖数量逐笔勾稽：A 12,000 + B 未质押 2,000 + C 旧仓 6,000 = 20,000 股，与附件"可卖20,000股"一致。</w:t>
      </w:r>
    </w:p>
    <w:p>
      <w:r>
        <w:rPr>
          <w:b w:val="0"/>
          <w:sz w:val="21"/>
        </w:rPr>
        <w:t>不可卖 8,000 股须与"未质押"严格区分：B 质押 6,000 股要到 2026-11-30 后才可申请解除、且当日能否完成登记未确认，不得计入可卖；C 当日买入 2,000 股虽未质押，但 T+0 当日不可卖，8月27日（周四）起方可卖。</w:t>
      </w:r>
    </w:p>
    <w:p>
      <w:pPr>
        <w:pStyle w:val="Heading1"/>
      </w:pPr>
      <w:r>
        <w:t>三、未来现金缺口与付款日历</w:t>
      </w:r>
    </w:p>
    <w:p>
      <w:r>
        <w:rPr>
          <w:b w:val="0"/>
          <w:sz w:val="21"/>
        </w:rPr>
        <w:t>10月30日前付 120,000 元、11月15日前付 100,000 元，两笔付完后账户至少保留 80,000 元，无追加资金计划。</w:t>
      </w:r>
    </w:p>
    <w:p>
      <w:r>
        <w:rPr>
          <w:b w:val="0"/>
          <w:sz w:val="21"/>
        </w:rPr>
        <w:t>测算：需净回笼 = 120,000+100,000+80,000−150,000 = 150,000 元。本方案正常情景净回笼约 395,323 元，现金约束不构成瓶颈；第一笔 120,000 元用现有现金即可覆盖。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日历日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星期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是否交易日/可划转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事项与备注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2026-08-26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周三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是（盘中10:30截点）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C当日买入2,000股今日不可卖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2026-08-27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周四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C当日买入2,000股次日起可卖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2026-09-18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周五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中期业绩说明会，波动可能放大，避免当日大额集中挂单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2026-10-30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周五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第一笔教育款120,000元支付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2026-11-13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周五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是（资金最后备妥日）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11-15为周日，此日为付款前最后可划转交易日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2026-11-15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周日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非交易日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第二笔教育款100,000元截止日，顺延至11-13执行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2026-11-30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周一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仅申请日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B质押6,000股解除申请，当日能否登记未确认，不提前计入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2026-12-08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周二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登记日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年度限售批次解禁，解禁后仍按交易规则处理</w:t>
            </w:r>
          </w:p>
        </w:tc>
      </w:tr>
    </w:tbl>
    <w:p>
      <w:r>
        <w:rPr>
          <w:b w:val="0"/>
          <w:sz w:val="21"/>
        </w:rPr>
        <w:t>注：附件未提供2026年A股法定休市安排，上表按周一至周五为交易日假设；实际行动日前须以交易所交易日历复核，遇节假日顺延。</w:t>
      </w:r>
    </w:p>
    <w:p>
      <w:pPr>
        <w:pStyle w:val="Heading1"/>
      </w:pPr>
      <w:r>
        <w:t>四、硬约束状态与集中度判定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约束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阈值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未调整值(8/26)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主方案交易后值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判定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绑定情况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单票市值/总资产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≤60%（11-15后仍满足）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85.43%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59.78%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超限→达标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最紧约束，反解卖出量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两笔款后最低现金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≥80,000元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325,323元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达标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已被减仓净回笼覆盖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连续两日收&lt;27.50后5日内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单票&lt;40%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未触发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S04情景39.80%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触发时执行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条件式规则R3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单日卖出股数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客户偏好≤6,000股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每笔≤6,000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达标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与情景成交量取小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不得补仓/加仓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客户禁止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不涉及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遵守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超限期间禁止做T/回补</w:t>
            </w:r>
          </w:p>
        </w:tc>
      </w:tr>
    </w:tbl>
    <w:p>
      <w:r>
        <w:rPr>
          <w:b w:val="0"/>
          <w:sz w:val="21"/>
        </w:rPr>
        <w:t>集中度分层：本组合为单一股票，唯一层级即单票 60%。当前 85.43% 已超线，主方案反解：在 31.40 元卖出 12,600 股后（少一手 12,500 股对应权重 60.17%，仍超线），方满足 60%。</w:t>
      </w:r>
    </w:p>
    <w:p>
      <w:pPr>
        <w:pStyle w:val="Heading1"/>
      </w:pPr>
      <w:r>
        <w:t>五、分价格情景处理安排</w:t>
      </w:r>
    </w:p>
    <w:p>
      <w:r>
        <w:rPr>
          <w:b w:val="0"/>
          <w:sz w:val="21"/>
        </w:rPr>
        <w:t>各情景参考价与日均可成交量估计均取自附件"价格情景"表；是否成交均不保证。日可执行量=min(客户6,000股/日, 情景估计)。费用=佣金0.03%(最低5元)+印花税0.05%，约0.08%。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9"/>
              </w:rPr>
              <w:t>情景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9"/>
              </w:rPr>
              <w:t>触发条件(可观察)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9"/>
              </w:rPr>
              <w:t>参考价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9"/>
              </w:rPr>
              <w:t>日可执行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9"/>
              </w:rPr>
              <w:t>总卖出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9"/>
              </w:rPr>
              <w:t>剩余股数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9"/>
              </w:rPr>
              <w:t>支付后权重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9"/>
              </w:rPr>
              <w:t>净回笼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9"/>
              </w:rPr>
              <w:t>期末现金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9"/>
              </w:rPr>
              <w:t>S01 正常波动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价格维持29.80–33.60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31.40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6,000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12,600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15,400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59.78%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395,323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325,323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9"/>
              </w:rPr>
              <w:t>S02 跌破支撑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收盘跌破29.80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29.20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4,000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12,700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15,300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59.78%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370,543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300,543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9"/>
              </w:rPr>
              <w:t>S03 价格回升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收盘达到/超过33.60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34.00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6,000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12,500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15,500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59.77%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424,660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354,660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9"/>
              </w:rPr>
              <w:t>S04 跌破风险线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连续两日收盘&lt;27.50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26.80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3,000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17,900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10,100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39.80%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479,336</w:t>
            </w:r>
          </w:p>
        </w:tc>
        <w:tc>
          <w:tcPr>
            <w:tcW w:type="dxa" w:w="960"/>
          </w:tcPr>
          <w:p>
            <w:r/>
            <w:r>
              <w:rPr>
                <w:sz w:val="19"/>
              </w:rPr>
              <w:t>409,336</w:t>
            </w:r>
          </w:p>
        </w:tc>
      </w:tr>
    </w:tbl>
    <w:p>
      <w:r>
        <w:rPr>
          <w:b w:val="0"/>
          <w:sz w:val="21"/>
        </w:rPr>
        <w:t>说明：S01/S02/S03 均以"11-15两笔支付后权重≤60%"为目标；S04 触发风险规则，目标收紧为&lt;40%，故卖出量更大。各情景少一手验证：如S01卖12,500股权重60.17%不达标，故取12,600股。</w:t>
      </w:r>
    </w:p>
    <w:p>
      <w:r>
        <w:rPr>
          <w:b/>
          <w:sz w:val="21"/>
        </w:rPr>
        <w:t>主方案（S01）批次卖出与实现盈亏（成本法）：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批次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卖出股数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成本/现价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费前实现盈亏(元)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 旧仓(34.10成本)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6,000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31.40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−16,200（认亏）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 未质押(27.60成本)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2,000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31.40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+7,600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A(18.20成本)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4,600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31.40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+60,720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合计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12,600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+52,120；扣费用316.5后 +51,803</w:t>
            </w:r>
          </w:p>
        </w:tc>
      </w:tr>
    </w:tbl>
    <w:p>
      <w:r>
        <w:rPr>
          <w:b w:val="0"/>
          <w:sz w:val="21"/>
        </w:rPr>
        <w:t>卖出顺序严格按"保留A"偏好：先 C 旧仓、再 B 未质押，A 仅动用 4,600 股（余 7,400 股）。卖出 C 旧仓在 31.40 元将每股亏 2.70 元，这是压集中度与备款的代价；S03 价升至 34 元时该批接近回本，与客户"回到34再卖"偏好更吻合。</w:t>
      </w:r>
    </w:p>
    <w:p>
      <w:r>
        <w:rPr>
          <w:b/>
          <w:sz w:val="21"/>
        </w:rPr>
        <w:t>分笔执行计划（S01，每笔≤6,000股，限价挂单，是否成交取决于当时买盘）：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9"/>
              </w:rPr>
              <w:t>笔次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时点窗口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卖出内容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股数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成交额(元)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费用(元)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净回笼(元)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第1笔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9月下旬(9/18说明会后)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C旧仓 6,000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6,000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188,400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150.7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188,249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第2笔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10月中旬(10/30付款前)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B未质押2,000+A 2,000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4,000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125,600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100.5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125,499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第3笔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11月上旬(不晚于11/13)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A 2,600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2,600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81,640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65.3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81,575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合计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12,600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395,640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316.5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395,323</w:t>
            </w:r>
          </w:p>
        </w:tc>
      </w:tr>
    </w:tbl>
    <w:p>
      <w:pPr>
        <w:pStyle w:val="Heading1"/>
      </w:pPr>
      <w:r>
        <w:t>六、分情景 if→then 交易纪律</w:t>
      </w:r>
    </w:p>
    <w:p>
      <w:r>
        <w:rPr>
          <w:b/>
          <w:sz w:val="21"/>
        </w:rPr>
        <w:t>R1 正常区间去化 (S01/S03)</w:t>
      </w:r>
    </w:p>
    <w:p>
      <w:r>
        <w:rPr>
          <w:b w:val="0"/>
          <w:sz w:val="21"/>
        </w:rPr>
        <w:t>If 收盘价维持29.80–33.60，或收盘达到/超过33.60，且距11-13尚有可执行交易日</w:t>
      </w:r>
    </w:p>
    <w:p>
      <w:r>
        <w:rPr>
          <w:b w:val="0"/>
          <w:sz w:val="21"/>
        </w:rPr>
        <w:t>Then 按上表三笔、顺序C→B→A分批限价卖出；S01合计12,600股、S03(价34)合计12,500股；单笔不超6,000股。卖出后复核单票权重与现金；未成交则次日同价继续，不追价、不补仓。</w:t>
      </w:r>
    </w:p>
    <w:p>
      <w:r>
        <w:rPr>
          <w:b/>
          <w:sz w:val="21"/>
        </w:rPr>
        <w:t>R2 跌破支撑 (S02)</w:t>
      </w:r>
    </w:p>
    <w:p>
      <w:r>
        <w:rPr>
          <w:b w:val="0"/>
          <w:sz w:val="21"/>
        </w:rPr>
        <w:t>If 任一日收盘价跌破29.80（参考29.20）</w:t>
      </w:r>
    </w:p>
    <w:p>
      <w:r>
        <w:rPr>
          <w:b w:val="0"/>
          <w:sz w:val="21"/>
        </w:rPr>
        <w:t>Then 日执行上限降为4,000股，按R1同批次顺序在11-13前加快至合计12,700股；分4个交易日完成。不在盘中一次性杀跌，每日限价挂单，未成交转入次日。</w:t>
      </w:r>
    </w:p>
    <w:p>
      <w:r>
        <w:rPr>
          <w:b/>
          <w:sz w:val="21"/>
        </w:rPr>
        <w:t>R3 跌破风险线 (S04)</w:t>
      </w:r>
    </w:p>
    <w:p>
      <w:r>
        <w:rPr>
          <w:b w:val="0"/>
          <w:sz w:val="21"/>
        </w:rPr>
        <w:t>If 连续两个交易日收盘价低于27.50（参考26.80）</w:t>
      </w:r>
    </w:p>
    <w:p>
      <w:r>
        <w:rPr>
          <w:b w:val="0"/>
          <w:sz w:val="21"/>
        </w:rPr>
        <w:t>Then 自确认次日起5个交易日内按3,000股/日将单票压至40%以下，合计17,900股（A较主方案多卖约5,300股，余约4,100股）。5日容量15,000股；若未在5日内达标，第6日起继续按3,000股/日卖出直至权重&lt;40%，并向客户书面说明延期。该规则压倒"回到34再卖"偏好。</w:t>
      </w:r>
    </w:p>
    <w:p>
      <w:r>
        <w:rPr>
          <w:b/>
          <w:sz w:val="21"/>
        </w:rPr>
        <w:t>R4 现金备款</w:t>
      </w:r>
    </w:p>
    <w:p>
      <w:r>
        <w:rPr>
          <w:b w:val="0"/>
          <w:sz w:val="21"/>
        </w:rPr>
        <w:t>If 10-30需付12万、11-13前需累计净回笼≥15万</w:t>
      </w:r>
    </w:p>
    <w:p>
      <w:r>
        <w:rPr>
          <w:b w:val="0"/>
          <w:sz w:val="21"/>
        </w:rPr>
        <w:t>Then 10-30付款用现有现金15万支付（付后余3万）；R1执行后累计净回笼约39.5万，11-13前付款10万后仍余约32.5万，满足≥8万保留线。若R1未足额成交，优先把第3笔提前至10月内补足。</w:t>
      </w:r>
    </w:p>
    <w:p>
      <w:r>
        <w:rPr>
          <w:b/>
          <w:sz w:val="21"/>
        </w:rPr>
        <w:t>R5 未成交/停牌/涨跌停后手</w:t>
      </w:r>
    </w:p>
    <w:p>
      <w:r>
        <w:rPr>
          <w:b w:val="0"/>
          <w:sz w:val="21"/>
        </w:rPr>
        <w:t>If 挂单未成交、跌停无买盘或停牌</w:t>
      </w:r>
    </w:p>
    <w:p>
      <w:r>
        <w:rPr>
          <w:b w:val="0"/>
          <w:sz w:val="21"/>
        </w:rPr>
        <w:t>Then 该笔成交股数与现金记0，不计入已合规；下一可执行日重新限价挂单，重算当日可卖量与权重；质押B 6,000股在11-30解除登记完成前一律不计入可卖。</w:t>
      </w:r>
    </w:p>
    <w:p>
      <w:pPr>
        <w:pStyle w:val="Heading1"/>
      </w:pPr>
      <w:r>
        <w:t>七、假设与缺失清单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条目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说明/影响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补齐后需重算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现价/历史价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已确认事实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全部来自附件《价格记录》《价格情景》表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费率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已确认事实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佣金0.03%最低5元+印花税0.05%；附件未提过户费/滑点，按0处理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若另有过户费或滑点，重算费用与净回笼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2026休市安排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仍缺证据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附件未给交易所节假日历，按周一至周五为交易日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确认后校正11-13等行动日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B质押解除时点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仍缺证据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11-30仅为申请日，当日能否登记未确认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解除完成后重算可卖台账与剩余A股数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C当日买入2,000股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已确认事实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8/26不可卖，8/27起可卖；本方案未单独动用该批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客户偏好效力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已确认事实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"未回34不卖"为偏好，不豁免60%/40%硬约束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情景成交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假设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情景表明确不保证成交，日量为估计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实际成交后按真实价/量重算权重与现金</w:t>
            </w:r>
          </w:p>
        </w:tc>
      </w:tr>
    </w:tbl>
    <w:p>
      <w:pPr>
        <w:pStyle w:val="Heading1"/>
      </w:pPr>
      <w:r>
        <w:t>八、下单前复核清单与声明</w:t>
      </w:r>
    </w:p>
    <w:p>
      <w:r>
        <w:rPr>
          <w:b w:val="0"/>
          <w:sz w:val="21"/>
        </w:rPr>
        <w:t>1. 截至报价仍有效、当日可卖量仍为20,000股（不含B质押6,000与C当日买2,000）。</w:t>
      </w:r>
    </w:p>
    <w:p>
      <w:r>
        <w:rPr>
          <w:b w:val="0"/>
          <w:sz w:val="21"/>
        </w:rPr>
        <w:t>2. 单笔不超过6,000股，按C→B→A顺序，100股整数倍。</w:t>
      </w:r>
    </w:p>
    <w:p>
      <w:r>
        <w:rPr>
          <w:b w:val="0"/>
          <w:sz w:val="21"/>
        </w:rPr>
        <w:t>3. 每笔限价挂单，写明"是否成交取决于当时买盘与涨跌停；未成交转次日"，不使用市价追单。</w:t>
      </w:r>
    </w:p>
    <w:p>
      <w:r>
        <w:rPr>
          <w:b w:val="0"/>
          <w:sz w:val="21"/>
        </w:rPr>
        <w:t>4. 成交后当日复核：成交额、费用、净回笼、剩余股数、单票权重、现金余额。</w:t>
      </w:r>
    </w:p>
    <w:p>
      <w:r>
        <w:rPr>
          <w:b w:val="0"/>
          <w:sz w:val="21"/>
        </w:rPr>
        <w:t>5. 11-13（周五）前确认两笔款项已备足、支付后现金≥8万、单票≤60%。</w:t>
      </w:r>
    </w:p>
    <w:p>
      <w:r>
        <w:rPr>
          <w:b w:val="0"/>
          <w:sz w:val="21"/>
        </w:rPr>
        <w:t>6. 超限/触发S04期间，不补仓、不回补、不做T。</w:t>
      </w:r>
    </w:p>
    <w:p>
      <w:r>
        <w:rPr>
          <w:b/>
          <w:sz w:val="21"/>
        </w:rPr>
        <w:t>非执行声明：本备忘录仅为客户经理沟通与决策参考，不代表任何委托已发出或成交；不承诺卖出价格、成交数量或投资收益；质押解除、限售解禁均以登记完成为准。实际交易须由客户本人或经授权指令执行。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