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单一重仓持仓记录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记录截点：2026年8月26日10:30（北京时间）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账户情况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账户持有S01共28000股。8月26日盘中参考价为31.40元，证券市值879200元，人民币现金150000元，账户资产合计1029200元。账户没有其他证券、融资或借款。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持仓批次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批次A：12000股，买入日期2024年4月18日，单位成本18.20元，无质押或限售。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批次B：8000股，买入日期2025年11月6日，单位成本27.60元。其中6000股已办理质押，质押解除只能在2026年11月30日后申请，是否当日完成登记尚未确认；其余2000股可卖。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批次C：8000股，单位成本34.10元。其中6000股于2026年6月12日买入，可以卖出；另有2000股于2026年8月26日买入，当日不可卖。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截至记录截点，可以卖出的数量为20000股。交易数量按100股整数处理。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资金安排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2026年10月30日前需支付教育费用120000元，2026年11月15日前还需支付100000元。两笔支付完成后，账户至少保留80000元现金。客户没有追加资金计划。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风险要求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单一证券市值不得超过账户总资产的60%。该比例应在11月15日第二笔资金支付后仍然满足。若连续两个交易日收盘价低于27.50元，应在可交易的前提下，于五个交易日内将单一证券占比降至40%以下。不得以质押股份已经解除作为既定事实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客户沟通记录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客户希望尽量保留批次A的长期持仓，并提出‘股价没有回到34元以前先不卖’。该表述属于偏好，不是风险限额例外。客户不接受补仓，也不希望单日卖出超过6000股。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费用与执行限制</w:t>
      </w:r>
    </w:p>
    <w:p>
      <w:pPr>
        <w:spacing w:before="0" w:after="0" w:line="240" w:lineRule="auto"/>
      </w:pPr>
      <w:r>
        <w:rPr>
          <w:rFonts w:ascii="SimHei" w:hAnsi="SimHei" w:eastAsia="黑体"/>
          <w:b w:val="0"/>
          <w:i w:val="0"/>
          <w:color w:val="000000"/>
          <w:sz w:val="21"/>
        </w:rPr>
        <w:t>卖出佣金按成交额0.03%计算，单笔最低5元；卖出印花税按成交额0.05%计算。分析可以安排分批卖出条件，但不得写成交易已经发出或完成。价格和成交量以《持仓标的价格与事件.xlsx》为准。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黑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