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# ArcFlow Executive Summary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## Project Status: Minimum Viable Product (MVP) Complete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 ArcFlow nanopayment infrastructure has been successfully built, tested, and validated end-to-end. It is currently capable of facilitating frictionless, zero-click USDC microtransactions between autonomous AI agents and API service providers over the Arc blockchain.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## The Problem It Solves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As AI Agents become autonomous, they need the ability to "pay as they go" for API access, data, and compute without relying on centralized subscriptions, credit cards, or upfront API key billing.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## The Solution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ArcFlow is a decentralized **HTTP 402 (Payment Required)** negotiation protocol.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Instead of bouncing an AI Agent when it hits a paywall, ArcFlow seamlessly negotiates a microtransaction in the background using cryptographic EIP-712 signatures.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### Architecture Components Delivered: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1. **The Seller Middleware (`@arcflow/middleware`)**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- An extremely lightweight NPM package.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- Allows API developers to paywall any endpoint in exactly 3 lines of code.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- Does not require Docker, databases, or complex infrastructure for the seller.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- Mathematically verifies the cryptographic validity of incoming payments.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2. **The Buyer Client SDK (`@arcflow/client`)**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- A drop-in replacement for the native `fetch` API for AI Agents.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- Automatically intercepts 402 challenges, signs the payment using the agent's wallet, and retries the request silently.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- Allows AI Agents to traverse the internet, paying for data fractions of a cent at a time, entirely autonomously.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3. **The SaaS Backend &amp; Dashboard**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- A high-throughput Node.js backend using SQLite WAL mode to log thousands of transactions per second.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- A zero-dependency, ultra-fast Vite Single Page Application (SPA) dashboard for merchants to monitor live agent spending, reconcile on-chain volume, and manage billing tiers.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## Current Readiness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 architecture is fully functional. We have successfully simulated an end-to-end transaction where a mock AI Agent purchased an API payload from a mock Merchant server. The transaction was cryptographically signed, settled via the middleware, and indexed by the backend in milliseconds.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 system is designed to support the **Arc Mainnet** (using live USDC) for production environments.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569cd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