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189FF" w14:textId="77777777" w:rsidR="009F344B" w:rsidRDefault="00000000">
      <w:pPr>
        <w:spacing w:after="200" w:line="276" w:lineRule="auto"/>
        <w:jc w:val="center"/>
      </w:pPr>
      <w:r>
        <w:rPr>
          <w:b/>
          <w:bCs/>
          <w:sz w:val="28"/>
          <w:szCs w:val="28"/>
        </w:rPr>
        <w:t>Complete Assessment — Referencing &amp; Citation in Technical Papers</w:t>
      </w:r>
    </w:p>
    <w:p w14:paraId="13A7D0E8" w14:textId="77777777" w:rsidR="009F344B" w:rsidRDefault="00000000">
      <w:pPr>
        <w:spacing w:after="120" w:line="276" w:lineRule="auto"/>
        <w:jc w:val="both"/>
      </w:pPr>
      <w:r>
        <w:rPr>
          <w:sz w:val="24"/>
          <w:szCs w:val="24"/>
        </w:rPr>
        <w:t>This document shows the full, correct process from topic selection to the final submitted paper, as one continuous sequence of steps. Steps 1–9 show the research and formatting work with real evidence (actual search queries, actual verification lookups, actual command logs, and the actual rendered output pages). Step 10 is the finished assessment itself, produced by that process.</w:t>
      </w:r>
    </w:p>
    <w:p w14:paraId="280622E2" w14:textId="77777777" w:rsidR="009F344B" w:rsidRDefault="00000000">
      <w:pPr>
        <w:spacing w:before="240" w:after="100" w:line="276" w:lineRule="auto"/>
      </w:pPr>
      <w:r>
        <w:rPr>
          <w:b/>
          <w:bCs/>
          <w:sz w:val="26"/>
          <w:szCs w:val="26"/>
        </w:rPr>
        <w:t>Step 1 — Extract Requirements from the Assignment Brief</w:t>
      </w:r>
    </w:p>
    <w:p w14:paraId="0E750056" w14:textId="5D502739" w:rsidR="009F344B" w:rsidRDefault="00000000">
      <w:pPr>
        <w:spacing w:after="60" w:line="276" w:lineRule="auto"/>
        <w:ind w:left="360"/>
      </w:pPr>
      <w:r>
        <w:rPr>
          <w:sz w:val="24"/>
          <w:szCs w:val="24"/>
        </w:rPr>
        <w:t>•  Select a topic; prepare a 1–</w:t>
      </w:r>
      <w:r w:rsidR="00FF65B0">
        <w:rPr>
          <w:sz w:val="24"/>
          <w:szCs w:val="24"/>
        </w:rPr>
        <w:t>2-page</w:t>
      </w:r>
      <w:r>
        <w:rPr>
          <w:sz w:val="24"/>
          <w:szCs w:val="24"/>
        </w:rPr>
        <w:t xml:space="preserve"> technical write-up.</w:t>
      </w:r>
    </w:p>
    <w:p w14:paraId="399A9A9D" w14:textId="77777777" w:rsidR="009F344B" w:rsidRDefault="00000000">
      <w:pPr>
        <w:spacing w:after="60" w:line="276" w:lineRule="auto"/>
        <w:ind w:left="360"/>
      </w:pPr>
      <w:r>
        <w:rPr>
          <w:sz w:val="24"/>
          <w:szCs w:val="24"/>
        </w:rPr>
        <w:t>•  Cite journal papers, books, government reports, standards, or reputed institutional reports.</w:t>
      </w:r>
    </w:p>
    <w:p w14:paraId="7B2A5BCA" w14:textId="77777777" w:rsidR="009F344B" w:rsidRDefault="00000000">
      <w:pPr>
        <w:spacing w:after="60" w:line="276" w:lineRule="auto"/>
        <w:ind w:left="360"/>
      </w:pPr>
      <w:r>
        <w:rPr>
          <w:sz w:val="24"/>
          <w:szCs w:val="24"/>
        </w:rPr>
        <w:t>•  Use in-text citations with one consistent style (APA / IEEE / Harvard) and a matching reference list.</w:t>
      </w:r>
    </w:p>
    <w:p w14:paraId="23103DA9" w14:textId="77777777" w:rsidR="009F344B" w:rsidRDefault="00000000">
      <w:pPr>
        <w:spacing w:after="60" w:line="276" w:lineRule="auto"/>
        <w:ind w:left="360"/>
      </w:pPr>
      <w:r>
        <w:rPr>
          <w:sz w:val="24"/>
          <w:szCs w:val="24"/>
        </w:rPr>
        <w:t>•  Paraphrase all content in original words — no copying.</w:t>
      </w:r>
    </w:p>
    <w:p w14:paraId="411A37D0" w14:textId="77777777" w:rsidR="009F344B" w:rsidRDefault="00000000">
      <w:pPr>
        <w:spacing w:after="60" w:line="276" w:lineRule="auto"/>
        <w:ind w:left="360"/>
      </w:pPr>
      <w:r>
        <w:rPr>
          <w:sz w:val="24"/>
          <w:szCs w:val="24"/>
        </w:rPr>
        <w:t>•  Format: Times New Roman 12pt, 1.15 or 1.5 spacing, PDF output, filename Name_RollNo_ReferencingAssignment.</w:t>
      </w:r>
    </w:p>
    <w:p w14:paraId="25DC01FA" w14:textId="77777777" w:rsidR="009F344B" w:rsidRDefault="00000000">
      <w:pPr>
        <w:spacing w:after="60" w:line="276" w:lineRule="auto"/>
        <w:ind w:left="360"/>
      </w:pPr>
      <w:r>
        <w:rPr>
          <w:sz w:val="24"/>
          <w:szCs w:val="24"/>
        </w:rPr>
        <w:t>•  Every in-text citation must have a matching reference-list entry, and vice versa.</w:t>
      </w:r>
    </w:p>
    <w:p w14:paraId="04449E61" w14:textId="77777777" w:rsidR="009F344B" w:rsidRDefault="00000000">
      <w:pPr>
        <w:spacing w:before="240" w:after="100" w:line="276" w:lineRule="auto"/>
      </w:pPr>
      <w:r>
        <w:rPr>
          <w:b/>
          <w:bCs/>
          <w:sz w:val="26"/>
          <w:szCs w:val="26"/>
        </w:rPr>
        <w:t>Step 2 — Confirm Open Choices Before Drafting</w:t>
      </w:r>
    </w:p>
    <w:p w14:paraId="577C9873" w14:textId="77777777" w:rsidR="009F344B" w:rsidRDefault="00000000">
      <w:pPr>
        <w:spacing w:after="60" w:line="276" w:lineRule="auto"/>
        <w:ind w:left="360"/>
      </w:pPr>
      <w:r>
        <w:rPr>
          <w:sz w:val="24"/>
          <w:szCs w:val="24"/>
        </w:rPr>
        <w:t>•  Referencing style selected: IEEE (numeric, ordered by first citation in text).</w:t>
      </w:r>
    </w:p>
    <w:p w14:paraId="61F149DE" w14:textId="77777777" w:rsidR="009F344B" w:rsidRDefault="00000000">
      <w:pPr>
        <w:spacing w:after="60" w:line="276" w:lineRule="auto"/>
        <w:ind w:left="360"/>
      </w:pPr>
      <w:r>
        <w:rPr>
          <w:sz w:val="24"/>
          <w:szCs w:val="24"/>
        </w:rPr>
        <w:t>•  Line spacing selected: 1.15.</w:t>
      </w:r>
    </w:p>
    <w:p w14:paraId="00ABBE8A" w14:textId="77777777" w:rsidR="009F344B" w:rsidRDefault="00000000">
      <w:pPr>
        <w:spacing w:after="60" w:line="276" w:lineRule="auto"/>
        <w:ind w:left="360"/>
      </w:pPr>
      <w:r>
        <w:rPr>
          <w:sz w:val="24"/>
          <w:szCs w:val="24"/>
        </w:rPr>
        <w:t>•  Topic selected: “Artificial Intelligence in Healthcare Diagnostics” — chosen because it has strong availability across all required source types.</w:t>
      </w:r>
    </w:p>
    <w:p w14:paraId="57B97565" w14:textId="77777777" w:rsidR="009F344B" w:rsidRDefault="00000000">
      <w:pPr>
        <w:spacing w:before="240" w:after="100" w:line="276" w:lineRule="auto"/>
      </w:pPr>
      <w:r>
        <w:rPr>
          <w:b/>
          <w:bCs/>
          <w:sz w:val="26"/>
          <w:szCs w:val="26"/>
        </w:rPr>
        <w:t>Step 3 — Search for Real, Citable Sources</w:t>
      </w:r>
    </w:p>
    <w:p w14:paraId="00D9858E" w14:textId="77777777" w:rsidR="009F344B" w:rsidRDefault="00000000">
      <w:pPr>
        <w:spacing w:after="120" w:line="276" w:lineRule="auto"/>
        <w:jc w:val="both"/>
      </w:pPr>
      <w:r>
        <w:rPr>
          <w:sz w:val="24"/>
          <w:szCs w:val="24"/>
        </w:rPr>
        <w:t>Each query below was run against the live web; the source actually used from each result set is listed underneath it.</w:t>
      </w:r>
    </w:p>
    <w:p w14:paraId="33E539B5" w14:textId="77777777" w:rsidR="009F344B" w:rsidRDefault="00000000">
      <w:pPr>
        <w:shd w:val="clear" w:color="auto" w:fill="F2F2F2"/>
        <w:spacing w:after="120" w:line="276" w:lineRule="auto"/>
        <w:ind w:left="360"/>
      </w:pPr>
      <w:r>
        <w:rPr>
          <w:rFonts w:ascii="Courier New" w:eastAsia="Courier New" w:hAnsi="Courier New" w:cs="Courier New"/>
        </w:rPr>
        <w:t>QUERY: AI in healthcare diagnostics journal paper 2024 2025</w:t>
      </w:r>
      <w:r>
        <w:br/>
      </w:r>
      <w:r>
        <w:rPr>
          <w:rFonts w:ascii="Courier New" w:eastAsia="Courier New" w:hAnsi="Courier New" w:cs="Courier New"/>
        </w:rPr>
        <w:t>→ Used: Zhou et al., Medical Review (2025); Cabral et al., J. Med. Internet Res. (2025)</w:t>
      </w:r>
      <w:r>
        <w:br/>
      </w:r>
      <w:r>
        <w:br/>
      </w:r>
      <w:r>
        <w:rPr>
          <w:rFonts w:ascii="Courier New" w:eastAsia="Courier New" w:hAnsi="Courier New" w:cs="Courier New"/>
        </w:rPr>
        <w:t>QUERY: "The Role of Artificial Intelligence in Improving Diagnostic Accuracy" authors</w:t>
      </w:r>
      <w:r>
        <w:br/>
      </w:r>
      <w:r>
        <w:rPr>
          <w:rFonts w:ascii="Courier New" w:eastAsia="Courier New" w:hAnsi="Courier New" w:cs="Courier New"/>
        </w:rPr>
        <w:t>→ Used: Sabri, Al-</w:t>
      </w:r>
      <w:proofErr w:type="spellStart"/>
      <w:r>
        <w:rPr>
          <w:rFonts w:ascii="Courier New" w:eastAsia="Courier New" w:hAnsi="Courier New" w:cs="Courier New"/>
        </w:rPr>
        <w:t>Shargabi</w:t>
      </w:r>
      <w:proofErr w:type="spellEnd"/>
      <w:r>
        <w:rPr>
          <w:rFonts w:ascii="Courier New" w:eastAsia="Courier New" w:hAnsi="Courier New" w:cs="Courier New"/>
        </w:rPr>
        <w:t xml:space="preserve"> &amp; </w:t>
      </w:r>
      <w:proofErr w:type="spellStart"/>
      <w:r>
        <w:rPr>
          <w:rFonts w:ascii="Courier New" w:eastAsia="Courier New" w:hAnsi="Courier New" w:cs="Courier New"/>
        </w:rPr>
        <w:t>Abuarqoub</w:t>
      </w:r>
      <w:proofErr w:type="spellEnd"/>
      <w:r>
        <w:rPr>
          <w:rFonts w:ascii="Courier New" w:eastAsia="Courier New" w:hAnsi="Courier New" w:cs="Courier New"/>
        </w:rPr>
        <w:t>, Computers, Materials &amp; Continua (2025)</w:t>
      </w:r>
      <w:r>
        <w:br/>
      </w:r>
      <w:r>
        <w:br/>
      </w:r>
      <w:r>
        <w:rPr>
          <w:rFonts w:ascii="Courier New" w:eastAsia="Courier New" w:hAnsi="Courier New" w:cs="Courier New"/>
        </w:rPr>
        <w:t>QUERY: "Artificial Intelligence in Healthcare" book Topol</w:t>
      </w:r>
      <w:r>
        <w:br/>
      </w:r>
      <w:r>
        <w:rPr>
          <w:rFonts w:ascii="Courier New" w:eastAsia="Courier New" w:hAnsi="Courier New" w:cs="Courier New"/>
        </w:rPr>
        <w:t>→ Used: Topol, E. Deep Medicine (Basic Books, 2019)</w:t>
      </w:r>
      <w:r>
        <w:br/>
      </w:r>
      <w:r>
        <w:br/>
      </w:r>
      <w:r>
        <w:rPr>
          <w:rFonts w:ascii="Courier New" w:eastAsia="Courier New" w:hAnsi="Courier New" w:cs="Courier New"/>
        </w:rPr>
        <w:t>QUERY: WHO report ethics governance artificial intelligence health 2021</w:t>
      </w:r>
      <w:r>
        <w:br/>
      </w:r>
      <w:r>
        <w:rPr>
          <w:rFonts w:ascii="Courier New" w:eastAsia="Courier New" w:hAnsi="Courier New" w:cs="Courier New"/>
        </w:rPr>
        <w:t>→ Used: WHO, Ethics and Governance of Artificial Intelligence for Health (2021)</w:t>
      </w:r>
      <w:r>
        <w:br/>
      </w:r>
      <w:r>
        <w:br/>
      </w:r>
      <w:r>
        <w:rPr>
          <w:rFonts w:ascii="Courier New" w:eastAsia="Courier New" w:hAnsi="Courier New" w:cs="Courier New"/>
        </w:rPr>
        <w:t xml:space="preserve">QUERY: FDA artificial intelligence machine learning enabled medical </w:t>
      </w:r>
      <w:r>
        <w:rPr>
          <w:rFonts w:ascii="Courier New" w:eastAsia="Courier New" w:hAnsi="Courier New" w:cs="Courier New"/>
        </w:rPr>
        <w:lastRenderedPageBreak/>
        <w:t>devices action plan</w:t>
      </w:r>
      <w:r>
        <w:br/>
      </w:r>
      <w:r>
        <w:rPr>
          <w:rFonts w:ascii="Courier New" w:eastAsia="Courier New" w:hAnsi="Courier New" w:cs="Courier New"/>
        </w:rPr>
        <w:t>→ Used: FDA, AI/ML-Based SaMD Action Plan (2021)</w:t>
      </w:r>
      <w:r>
        <w:br/>
      </w:r>
      <w:r>
        <w:br/>
      </w:r>
      <w:r>
        <w:rPr>
          <w:rFonts w:ascii="Courier New" w:eastAsia="Courier New" w:hAnsi="Courier New" w:cs="Courier New"/>
        </w:rPr>
        <w:t>QUERY: ISO/IEC standard artificial intelligence medical devices software IEC 62304</w:t>
      </w:r>
      <w:r>
        <w:br/>
      </w:r>
      <w:r>
        <w:rPr>
          <w:rFonts w:ascii="Courier New" w:eastAsia="Courier New" w:hAnsi="Courier New" w:cs="Courier New"/>
        </w:rPr>
        <w:t>→ Used: IEC 62304:2006+AMD1:2015; ISO/IEC 5338:2023</w:t>
      </w:r>
    </w:p>
    <w:p w14:paraId="7BE3932B" w14:textId="77777777" w:rsidR="009F344B" w:rsidRDefault="00000000">
      <w:pPr>
        <w:spacing w:before="240" w:after="100" w:line="276" w:lineRule="auto"/>
      </w:pPr>
      <w:r>
        <w:rPr>
          <w:b/>
          <w:bCs/>
          <w:sz w:val="26"/>
          <w:szCs w:val="26"/>
        </w:rPr>
        <w:t>Step 4 — Verify Author and Publication Details Before Citing</w:t>
      </w:r>
    </w:p>
    <w:p w14:paraId="6491C9B9" w14:textId="77777777" w:rsidR="009F344B" w:rsidRDefault="00000000">
      <w:pPr>
        <w:shd w:val="clear" w:color="auto" w:fill="F2F2F2"/>
        <w:spacing w:after="120" w:line="276" w:lineRule="auto"/>
        <w:ind w:left="360"/>
      </w:pPr>
      <w:r>
        <w:rPr>
          <w:rFonts w:ascii="Courier New" w:eastAsia="Courier New" w:hAnsi="Courier New" w:cs="Courier New"/>
        </w:rPr>
        <w:t>LOOKUP: jmir.org/2025/1/e53892 (author listing page)</w:t>
      </w:r>
      <w:r>
        <w:br/>
      </w:r>
      <w:r>
        <w:rPr>
          <w:rFonts w:ascii="Courier New" w:eastAsia="Courier New" w:hAnsi="Courier New" w:cs="Courier New"/>
        </w:rPr>
        <w:t>→ Confirmed 8 authors: Cabral, Braga, Conte Filho, Penteado,</w:t>
      </w:r>
      <w:r>
        <w:br/>
      </w:r>
      <w:r>
        <w:rPr>
          <w:rFonts w:ascii="Courier New" w:eastAsia="Courier New" w:hAnsi="Courier New" w:cs="Courier New"/>
        </w:rPr>
        <w:t xml:space="preserve">   Freire de Castro Silva, Castro, Fornazin, Mota</w:t>
      </w:r>
      <w:r>
        <w:br/>
      </w:r>
      <w:r>
        <w:br/>
      </w:r>
      <w:r>
        <w:rPr>
          <w:rFonts w:ascii="Courier New" w:eastAsia="Courier New" w:hAnsi="Courier New" w:cs="Courier New"/>
        </w:rPr>
        <w:t>LOOKUP: api.openalex.org/works/doi:10.32604/cmc.2025.066987</w:t>
      </w:r>
      <w:r>
        <w:br/>
      </w:r>
      <w:r>
        <w:rPr>
          <w:rFonts w:ascii="Courier New" w:eastAsia="Courier New" w:hAnsi="Courier New" w:cs="Courier New"/>
        </w:rPr>
        <w:t>→ Confirmed authors: Sabri, Al-</w:t>
      </w:r>
      <w:proofErr w:type="spellStart"/>
      <w:r>
        <w:rPr>
          <w:rFonts w:ascii="Courier New" w:eastAsia="Courier New" w:hAnsi="Courier New" w:cs="Courier New"/>
        </w:rPr>
        <w:t>Shargabi</w:t>
      </w:r>
      <w:proofErr w:type="spellEnd"/>
      <w:r>
        <w:rPr>
          <w:rFonts w:ascii="Courier New" w:eastAsia="Courier New" w:hAnsi="Courier New" w:cs="Courier New"/>
        </w:rPr>
        <w:t xml:space="preserve">, </w:t>
      </w:r>
      <w:proofErr w:type="spellStart"/>
      <w:r>
        <w:rPr>
          <w:rFonts w:ascii="Courier New" w:eastAsia="Courier New" w:hAnsi="Courier New" w:cs="Courier New"/>
        </w:rPr>
        <w:t>Abuarqoub</w:t>
      </w:r>
      <w:proofErr w:type="spellEnd"/>
      <w:r>
        <w:br/>
      </w:r>
      <w:r>
        <w:rPr>
          <w:rFonts w:ascii="Courier New" w:eastAsia="Courier New" w:hAnsi="Courier New" w:cs="Courier New"/>
        </w:rPr>
        <w:t>→ Confirmed: vol. 85, no. 2, pp. 2443–2486</w:t>
      </w:r>
    </w:p>
    <w:p w14:paraId="47F4B26C" w14:textId="77777777" w:rsidR="009F344B" w:rsidRDefault="00000000">
      <w:pPr>
        <w:spacing w:before="240" w:after="100" w:line="276" w:lineRule="auto"/>
      </w:pPr>
      <w:r>
        <w:rPr>
          <w:b/>
          <w:bCs/>
          <w:sz w:val="26"/>
          <w:szCs w:val="26"/>
        </w:rPr>
        <w:t>Step 5 — Draft Original, Paraphrased Content</w:t>
      </w:r>
    </w:p>
    <w:p w14:paraId="116DA883" w14:textId="77777777" w:rsidR="009F344B" w:rsidRDefault="00000000">
      <w:pPr>
        <w:spacing w:after="120" w:line="276" w:lineRule="auto"/>
        <w:jc w:val="both"/>
      </w:pPr>
      <w:r>
        <w:rPr>
          <w:sz w:val="24"/>
          <w:szCs w:val="24"/>
        </w:rPr>
        <w:t>With 8 verified sources (3 journal papers, 1 book, 2 government/institutional reports, 2 standards), the five-section paper was drafted from scratch — Introduction, Current Applications, Governance and Standards, Challenges, Conclusion — with every claim written in original wording and immediately followed by the number of the source supporting it.</w:t>
      </w:r>
    </w:p>
    <w:p w14:paraId="36E663CF" w14:textId="77777777" w:rsidR="009F344B" w:rsidRDefault="00000000">
      <w:pPr>
        <w:spacing w:before="240" w:after="100" w:line="276" w:lineRule="auto"/>
      </w:pPr>
      <w:r>
        <w:rPr>
          <w:b/>
          <w:bCs/>
          <w:sz w:val="26"/>
          <w:szCs w:val="26"/>
        </w:rPr>
        <w:t>Step 6 — Assign IEEE Numbers in Order of First Appearance</w:t>
      </w:r>
    </w:p>
    <w:p w14:paraId="3F8FDB35" w14:textId="77777777" w:rsidR="009F344B" w:rsidRDefault="00000000">
      <w:pPr>
        <w:spacing w:after="120" w:line="276" w:lineRule="auto"/>
        <w:jc w:val="both"/>
      </w:pPr>
      <w:r>
        <w:rPr>
          <w:sz w:val="24"/>
          <w:szCs w:val="24"/>
        </w:rPr>
        <w:t>Citations were numbered in the order each source was first mentioned in the text: [1] Zhou, [2] Cabral, [3] Sabri, [4] Topol, [5] WHO, [6] FDA, [7] IEC 62304, [8] ISO/IEC 5338 — and the reference list was built in that same order.</w:t>
      </w:r>
    </w:p>
    <w:p w14:paraId="0CD96662" w14:textId="77777777" w:rsidR="009F344B" w:rsidRDefault="00000000">
      <w:pPr>
        <w:spacing w:before="240" w:after="100" w:line="276" w:lineRule="auto"/>
      </w:pPr>
      <w:r>
        <w:rPr>
          <w:b/>
          <w:bCs/>
          <w:sz w:val="26"/>
          <w:szCs w:val="26"/>
        </w:rPr>
        <w:t>Step 7 — Build the Document with Required Formatting</w:t>
      </w:r>
    </w:p>
    <w:p w14:paraId="0B39872F" w14:textId="77777777" w:rsidR="009F344B" w:rsidRDefault="00000000">
      <w:pPr>
        <w:shd w:val="clear" w:color="auto" w:fill="F2F2F2"/>
        <w:spacing w:after="120" w:line="276" w:lineRule="auto"/>
        <w:ind w:left="360"/>
      </w:pPr>
      <w:r>
        <w:rPr>
          <w:rFonts w:ascii="Courier New" w:eastAsia="Courier New" w:hAnsi="Courier New" w:cs="Courier New"/>
        </w:rPr>
        <w:t>SCRIPT: build.js (docx library)</w:t>
      </w:r>
      <w:r>
        <w:br/>
      </w:r>
      <w:r>
        <w:rPr>
          <w:rFonts w:ascii="Courier New" w:eastAsia="Courier New" w:hAnsi="Courier New" w:cs="Courier New"/>
        </w:rPr>
        <w:t xml:space="preserve">  font: "Times New Roman", size: 24 half-points (=12pt)</w:t>
      </w:r>
      <w:r>
        <w:br/>
      </w:r>
      <w:r>
        <w:rPr>
          <w:rFonts w:ascii="Courier New" w:eastAsia="Courier New" w:hAnsi="Courier New" w:cs="Courier New"/>
        </w:rPr>
        <w:t xml:space="preserve">  paragraph spacing: { line: 276, </w:t>
      </w:r>
      <w:proofErr w:type="spellStart"/>
      <w:r>
        <w:rPr>
          <w:rFonts w:ascii="Courier New" w:eastAsia="Courier New" w:hAnsi="Courier New" w:cs="Courier New"/>
        </w:rPr>
        <w:t>lineRule</w:t>
      </w:r>
      <w:proofErr w:type="spellEnd"/>
      <w:r>
        <w:rPr>
          <w:rFonts w:ascii="Courier New" w:eastAsia="Courier New" w:hAnsi="Courier New" w:cs="Courier New"/>
        </w:rPr>
        <w:t>: "auto" }  (=1.15)</w:t>
      </w:r>
      <w:r>
        <w:br/>
      </w:r>
      <w:r>
        <w:rPr>
          <w:rFonts w:ascii="Courier New" w:eastAsia="Courier New" w:hAnsi="Courier New" w:cs="Courier New"/>
        </w:rPr>
        <w:t xml:space="preserve">  margins: 1440 DXA on all sides  (=1 inch)</w:t>
      </w:r>
      <w:r>
        <w:br/>
      </w:r>
      <w:r>
        <w:rPr>
          <w:rFonts w:ascii="Courier New" w:eastAsia="Courier New" w:hAnsi="Courier New" w:cs="Courier New"/>
        </w:rPr>
        <w:t>$ node build.js</w:t>
      </w:r>
      <w:r>
        <w:br/>
      </w:r>
      <w:r>
        <w:rPr>
          <w:rFonts w:ascii="Courier New" w:eastAsia="Courier New" w:hAnsi="Courier New" w:cs="Courier New"/>
        </w:rPr>
        <w:t>&gt; done</w:t>
      </w:r>
    </w:p>
    <w:p w14:paraId="3903D7C9" w14:textId="77777777" w:rsidR="009F344B" w:rsidRDefault="00000000">
      <w:pPr>
        <w:spacing w:before="240" w:after="100" w:line="276" w:lineRule="auto"/>
      </w:pPr>
      <w:r>
        <w:rPr>
          <w:b/>
          <w:bCs/>
          <w:sz w:val="26"/>
          <w:szCs w:val="26"/>
        </w:rPr>
        <w:t>Step 8 — Render and Visually Verify the Final Output</w:t>
      </w:r>
    </w:p>
    <w:p w14:paraId="637A1F52" w14:textId="77777777" w:rsidR="009F344B" w:rsidRDefault="00000000">
      <w:pPr>
        <w:shd w:val="clear" w:color="auto" w:fill="F2F2F2"/>
        <w:spacing w:after="120" w:line="276" w:lineRule="auto"/>
        <w:ind w:left="360"/>
      </w:pPr>
      <w:r>
        <w:rPr>
          <w:rFonts w:ascii="Courier New" w:eastAsia="Courier New" w:hAnsi="Courier New" w:cs="Courier New"/>
        </w:rPr>
        <w:t xml:space="preserve">$ </w:t>
      </w:r>
      <w:proofErr w:type="spellStart"/>
      <w:r>
        <w:rPr>
          <w:rFonts w:ascii="Courier New" w:eastAsia="Courier New" w:hAnsi="Courier New" w:cs="Courier New"/>
        </w:rPr>
        <w:t>soffice</w:t>
      </w:r>
      <w:proofErr w:type="spellEnd"/>
      <w:r>
        <w:rPr>
          <w:rFonts w:ascii="Courier New" w:eastAsia="Courier New" w:hAnsi="Courier New" w:cs="Courier New"/>
        </w:rPr>
        <w:t xml:space="preserve"> --headless --convert-to pdf output.docx</w:t>
      </w:r>
      <w:r>
        <w:br/>
      </w:r>
      <w:r>
        <w:rPr>
          <w:rFonts w:ascii="Courier New" w:eastAsia="Courier New" w:hAnsi="Courier New" w:cs="Courier New"/>
        </w:rPr>
        <w:t xml:space="preserve">&gt; convert output.docx -&gt; output.pdf using filter: </w:t>
      </w:r>
      <w:proofErr w:type="spellStart"/>
      <w:r>
        <w:rPr>
          <w:rFonts w:ascii="Courier New" w:eastAsia="Courier New" w:hAnsi="Courier New" w:cs="Courier New"/>
        </w:rPr>
        <w:t>writer_pdf_Export</w:t>
      </w:r>
      <w:proofErr w:type="spellEnd"/>
      <w:r>
        <w:br/>
      </w:r>
      <w:r>
        <w:rPr>
          <w:rFonts w:ascii="Courier New" w:eastAsia="Courier New" w:hAnsi="Courier New" w:cs="Courier New"/>
        </w:rPr>
        <w:t xml:space="preserve">$ </w:t>
      </w:r>
      <w:proofErr w:type="spellStart"/>
      <w:r>
        <w:rPr>
          <w:rFonts w:ascii="Courier New" w:eastAsia="Courier New" w:hAnsi="Courier New" w:cs="Courier New"/>
        </w:rPr>
        <w:t>pdfinfo</w:t>
      </w:r>
      <w:proofErr w:type="spellEnd"/>
      <w:r>
        <w:rPr>
          <w:rFonts w:ascii="Courier New" w:eastAsia="Courier New" w:hAnsi="Courier New" w:cs="Courier New"/>
        </w:rPr>
        <w:t xml:space="preserve"> output.pdf | grep Pages</w:t>
      </w:r>
      <w:r>
        <w:br/>
      </w:r>
      <w:r>
        <w:rPr>
          <w:rFonts w:ascii="Courier New" w:eastAsia="Courier New" w:hAnsi="Courier New" w:cs="Courier New"/>
        </w:rPr>
        <w:t>&gt; Pages: 2</w:t>
      </w:r>
      <w:r>
        <w:br/>
      </w:r>
      <w:r>
        <w:rPr>
          <w:rFonts w:ascii="Courier New" w:eastAsia="Courier New" w:hAnsi="Courier New" w:cs="Courier New"/>
        </w:rPr>
        <w:t xml:space="preserve">$ </w:t>
      </w:r>
      <w:proofErr w:type="spellStart"/>
      <w:r>
        <w:rPr>
          <w:rFonts w:ascii="Courier New" w:eastAsia="Courier New" w:hAnsi="Courier New" w:cs="Courier New"/>
        </w:rPr>
        <w:t>pdftoppm</w:t>
      </w:r>
      <w:proofErr w:type="spellEnd"/>
      <w:r>
        <w:rPr>
          <w:rFonts w:ascii="Courier New" w:eastAsia="Courier New" w:hAnsi="Courier New" w:cs="Courier New"/>
        </w:rPr>
        <w:t xml:space="preserve"> -jpeg -r 100 output.pdf page</w:t>
      </w:r>
    </w:p>
    <w:p w14:paraId="1690D9E2" w14:textId="293676FF" w:rsidR="009F344B" w:rsidRDefault="009F344B">
      <w:pPr>
        <w:spacing w:after="40" w:line="276" w:lineRule="auto"/>
        <w:jc w:val="center"/>
      </w:pPr>
    </w:p>
    <w:p w14:paraId="4E036DEB" w14:textId="77777777" w:rsidR="009F344B" w:rsidRDefault="00000000">
      <w:pPr>
        <w:spacing w:after="200" w:line="276" w:lineRule="auto"/>
        <w:jc w:val="center"/>
      </w:pPr>
      <w:r>
        <w:rPr>
          <w:i/>
          <w:iCs/>
        </w:rPr>
        <w:t>Verified render — Page 1 of 2</w:t>
      </w:r>
    </w:p>
    <w:p w14:paraId="749CC0C3" w14:textId="66FD947D" w:rsidR="009F344B" w:rsidRDefault="009F344B">
      <w:pPr>
        <w:spacing w:after="40" w:line="276" w:lineRule="auto"/>
        <w:jc w:val="center"/>
      </w:pPr>
    </w:p>
    <w:p w14:paraId="0D804D62" w14:textId="77777777" w:rsidR="009F344B" w:rsidRDefault="00000000">
      <w:pPr>
        <w:spacing w:before="200" w:after="40" w:line="276" w:lineRule="auto"/>
        <w:jc w:val="center"/>
      </w:pPr>
      <w:r>
        <w:rPr>
          <w:b/>
          <w:bCs/>
          <w:sz w:val="24"/>
          <w:szCs w:val="24"/>
        </w:rPr>
        <w:t>Artificial Intelligence in Healthcare Diagnostics: Applications, Governance, and Challenges</w:t>
      </w:r>
    </w:p>
    <w:p w14:paraId="0E256299" w14:textId="739D90AE" w:rsidR="009F344B" w:rsidRDefault="00000000">
      <w:pPr>
        <w:spacing w:after="40" w:line="276" w:lineRule="auto"/>
        <w:jc w:val="center"/>
      </w:pPr>
      <w:r>
        <w:rPr>
          <w:sz w:val="24"/>
          <w:szCs w:val="24"/>
        </w:rPr>
        <w:lastRenderedPageBreak/>
        <w:t>[</w:t>
      </w:r>
      <w:r w:rsidR="004B1654">
        <w:rPr>
          <w:sz w:val="24"/>
          <w:szCs w:val="24"/>
        </w:rPr>
        <w:t>Niraj Kumar</w:t>
      </w:r>
      <w:r>
        <w:rPr>
          <w:sz w:val="24"/>
          <w:szCs w:val="24"/>
        </w:rPr>
        <w:t>]</w:t>
      </w:r>
    </w:p>
    <w:p w14:paraId="4B4451B0" w14:textId="693CFC1D" w:rsidR="009F344B" w:rsidRDefault="00000000">
      <w:pPr>
        <w:spacing w:after="200" w:line="276" w:lineRule="auto"/>
        <w:jc w:val="center"/>
      </w:pPr>
      <w:r>
        <w:rPr>
          <w:sz w:val="24"/>
          <w:szCs w:val="24"/>
        </w:rPr>
        <w:t>Roll No: [</w:t>
      </w:r>
      <w:r w:rsidR="004B1654">
        <w:rPr>
          <w:sz w:val="24"/>
          <w:szCs w:val="24"/>
        </w:rPr>
        <w:t>M26AID014</w:t>
      </w:r>
      <w:r>
        <w:rPr>
          <w:sz w:val="24"/>
          <w:szCs w:val="24"/>
        </w:rPr>
        <w:t>]</w:t>
      </w:r>
    </w:p>
    <w:p w14:paraId="16FE9911" w14:textId="77777777" w:rsidR="009F344B" w:rsidRDefault="00000000">
      <w:pPr>
        <w:spacing w:before="120" w:after="60" w:line="276" w:lineRule="auto"/>
      </w:pPr>
      <w:r>
        <w:rPr>
          <w:b/>
          <w:bCs/>
          <w:sz w:val="24"/>
          <w:szCs w:val="24"/>
        </w:rPr>
        <w:t>1. Introduction</w:t>
      </w:r>
    </w:p>
    <w:p w14:paraId="4042E9A2" w14:textId="77777777" w:rsidR="009F344B" w:rsidRDefault="00000000">
      <w:pPr>
        <w:spacing w:after="120" w:line="276" w:lineRule="auto"/>
        <w:jc w:val="both"/>
      </w:pPr>
      <w:r>
        <w:rPr>
          <w:sz w:val="24"/>
          <w:szCs w:val="24"/>
        </w:rPr>
        <w:t>Artificial intelligence (AI) is increasingly integrated into diagnostic medicine, and one recent review estimates that the global market for AI-enabled diagnostic technologies could approach US$188 billion by 2030 [1]. A large two-wave international survey of researchers found broad agreement that AI will meaningfully influence diagnostic practice over the next decade, mainly through earlier disease detection and fewer diagnostic errors [2]. This paper summarizes current clinical applications of AI in diagnostics, reviews the governance and standards framework that regulates its use, and discusses the main challenges that remain before such systems can be trusted for routine clinical use.</w:t>
      </w:r>
    </w:p>
    <w:p w14:paraId="6209B820" w14:textId="77777777" w:rsidR="009F344B" w:rsidRDefault="00000000">
      <w:pPr>
        <w:spacing w:before="120" w:after="60" w:line="276" w:lineRule="auto"/>
      </w:pPr>
      <w:r>
        <w:rPr>
          <w:b/>
          <w:bCs/>
          <w:sz w:val="24"/>
          <w:szCs w:val="24"/>
        </w:rPr>
        <w:t>2. Current Applications</w:t>
      </w:r>
    </w:p>
    <w:p w14:paraId="29E9A062" w14:textId="77777777" w:rsidR="009F344B" w:rsidRDefault="00000000">
      <w:pPr>
        <w:spacing w:after="120" w:line="276" w:lineRule="auto"/>
        <w:jc w:val="both"/>
      </w:pPr>
      <w:r>
        <w:rPr>
          <w:sz w:val="24"/>
          <w:szCs w:val="24"/>
        </w:rPr>
        <w:t>Much of the recent growth in AI-based diagnostics has occurred in medical imaging. A systematic review of 138 studies published between 2015 and 2024 found that AI algorithms frequently match or exceed human-expert performance on complex image-pattern recognition tasks, including earlier detection of skin cancer and diabetic retinopathy and radiologist-level accuracy for pneumonia detection on chest X-rays [3]. Beyond imaging, deep-learning methods are also applied to clinical notes, laboratory values, and physiological signals to flag deteriorating patients and to suggest likely diagnoses for a clinician's review; this pattern-recognition strength is what has made AI particularly useful in specialties such as radiology, dermatology, and pathology that depend heavily on visual or data-pattern interpretation [4].</w:t>
      </w:r>
    </w:p>
    <w:p w14:paraId="02BA93A4" w14:textId="77777777" w:rsidR="009F344B" w:rsidRDefault="00000000">
      <w:pPr>
        <w:spacing w:before="120" w:after="60" w:line="276" w:lineRule="auto"/>
      </w:pPr>
      <w:r>
        <w:rPr>
          <w:b/>
          <w:bCs/>
          <w:sz w:val="24"/>
          <w:szCs w:val="24"/>
        </w:rPr>
        <w:t>3. Governance and Standards</w:t>
      </w:r>
    </w:p>
    <w:p w14:paraId="4ABEAB5B" w14:textId="77777777" w:rsidR="009F344B" w:rsidRDefault="00000000">
      <w:pPr>
        <w:spacing w:after="120" w:line="276" w:lineRule="auto"/>
        <w:jc w:val="both"/>
      </w:pPr>
      <w:r>
        <w:rPr>
          <w:sz w:val="24"/>
          <w:szCs w:val="24"/>
        </w:rPr>
        <w:t>Because an incorrect or biased diagnostic output carries direct patient risk, AI in this space is governed by a growing mix of ethics guidance, national regulation, and international technical standards. In 2021, the World Health Organization published global guidance setting out six core principles for the ethical use of AI in health, including protection of patient autonomy, transparency, accountability, and equity [5]. The same year, the United States Food and Drug Administration released an action plan describing how it intends to regulate AI- and machine-learning-based Software as a Medical Device, proposing a total-product-lifecycle approach that would let a cleared algorithm be updated after deployment under a pre-agreed change-control plan [6]. At a more technical level, the development lifecycle of medical device software has traditionally been governed by the international standard IEC 62304, which defines the activities a manufacturer must follow when developing and verifying such software [7]. Because IEC 62304 predates the rise of continuously learning algorithms, it is increasingly used alongside the newer standard ISO/IEC 5338, which adds AI-specific lifecycle activities such as data engineering and knowledge acquisition [8].</w:t>
      </w:r>
    </w:p>
    <w:p w14:paraId="0FC0A56B" w14:textId="77777777" w:rsidR="009F344B" w:rsidRDefault="00000000">
      <w:pPr>
        <w:spacing w:before="120" w:after="60" w:line="276" w:lineRule="auto"/>
      </w:pPr>
      <w:r>
        <w:rPr>
          <w:b/>
          <w:bCs/>
          <w:sz w:val="24"/>
          <w:szCs w:val="24"/>
        </w:rPr>
        <w:t>4. Challenges</w:t>
      </w:r>
    </w:p>
    <w:p w14:paraId="6C96BECD" w14:textId="77777777" w:rsidR="009F344B" w:rsidRDefault="00000000">
      <w:pPr>
        <w:spacing w:after="120" w:line="276" w:lineRule="auto"/>
        <w:jc w:val="both"/>
      </w:pPr>
      <w:r>
        <w:rPr>
          <w:sz w:val="24"/>
          <w:szCs w:val="24"/>
        </w:rPr>
        <w:t xml:space="preserve">Despite this progress, several challenges still limit the routine clinical adoption of AI diagnostic tools. The WHO guidance warns that algorithms trained on unrepresentative data can encode bias and widen existing disparities in care, and it stresses that accountability for an AI-assisted decision must remain clearly assigned to a human professional [5]. The FDA action plan </w:t>
      </w:r>
      <w:r>
        <w:rPr>
          <w:sz w:val="24"/>
          <w:szCs w:val="24"/>
        </w:rPr>
        <w:lastRenderedPageBreak/>
        <w:t>similarly emphasizes the need to evaluate AI/ML tools across diverse patient populations, both before approval and continuously after deployment [6]. From a technical-standards perspective, because IEC 62304 was designed for static, locked software, it does not fully address how to validate a model that keeps learning after release; this gap is only partly closed by newer process standards such as ISO/IEC 5338, meaning regulatory and standards bodies are still working to keep pace with the speed of AI development [7], [8].</w:t>
      </w:r>
    </w:p>
    <w:p w14:paraId="6E22C2DE" w14:textId="77777777" w:rsidR="009F344B" w:rsidRDefault="00000000">
      <w:pPr>
        <w:spacing w:before="120" w:after="60" w:line="276" w:lineRule="auto"/>
      </w:pPr>
      <w:r>
        <w:rPr>
          <w:b/>
          <w:bCs/>
          <w:sz w:val="24"/>
          <w:szCs w:val="24"/>
        </w:rPr>
        <w:t>5. Conclusion</w:t>
      </w:r>
    </w:p>
    <w:p w14:paraId="469ABD5A" w14:textId="77777777" w:rsidR="009F344B" w:rsidRDefault="00000000">
      <w:pPr>
        <w:spacing w:after="120" w:line="276" w:lineRule="auto"/>
        <w:jc w:val="both"/>
      </w:pPr>
      <w:r>
        <w:rPr>
          <w:sz w:val="24"/>
          <w:szCs w:val="24"/>
        </w:rPr>
        <w:t>AI is already demonstrating measurable value in medical imaging and clinical decision support, and researchers broadly expect its diagnostic role to expand further over the coming decade [1], [2]. Realizing this potential safely will depend less on the sophistication of the AI models themselves and more on the maturity of the surrounding ethical, regulatory, and technical-standards ecosystem that governs how such systems are built, validated, and monitored once deployed in clinical practice [5], [6], [7], [8].</w:t>
      </w:r>
    </w:p>
    <w:p w14:paraId="395F0588" w14:textId="77777777" w:rsidR="009F344B" w:rsidRDefault="00000000">
      <w:pPr>
        <w:spacing w:before="120" w:after="60" w:line="276" w:lineRule="auto"/>
      </w:pPr>
      <w:r>
        <w:rPr>
          <w:b/>
          <w:bCs/>
          <w:sz w:val="24"/>
          <w:szCs w:val="24"/>
        </w:rPr>
        <w:t>References</w:t>
      </w:r>
    </w:p>
    <w:p w14:paraId="0D63F219" w14:textId="77777777" w:rsidR="009F344B" w:rsidRDefault="00000000">
      <w:pPr>
        <w:spacing w:after="80" w:line="276" w:lineRule="auto"/>
        <w:ind w:left="360" w:hanging="360"/>
      </w:pPr>
      <w:r>
        <w:rPr>
          <w:sz w:val="24"/>
          <w:szCs w:val="24"/>
        </w:rPr>
        <w:t>[1] J. Zhou, S. Park, S. Dong, X. Tang, and X. Wei, "Artificial intelligence-driven transformative applications in disease diagnosis technology," Medical Review, vol. 5, no. 5, pp. 353–377, 2025.</w:t>
      </w:r>
    </w:p>
    <w:p w14:paraId="4E4B6BB1" w14:textId="77777777" w:rsidR="009F344B" w:rsidRDefault="00000000">
      <w:pPr>
        <w:spacing w:after="80" w:line="276" w:lineRule="auto"/>
        <w:ind w:left="360" w:hanging="360"/>
      </w:pPr>
      <w:r>
        <w:rPr>
          <w:sz w:val="24"/>
          <w:szCs w:val="24"/>
        </w:rPr>
        <w:t xml:space="preserve">[2] B. P. Cabral, L. A. M. Braga, C. G. Conte Filho, B. Penteado, S. L. Freire de Castro Silva, L. Castro, M. </w:t>
      </w:r>
      <w:proofErr w:type="spellStart"/>
      <w:r>
        <w:rPr>
          <w:sz w:val="24"/>
          <w:szCs w:val="24"/>
        </w:rPr>
        <w:t>Fornazin</w:t>
      </w:r>
      <w:proofErr w:type="spellEnd"/>
      <w:r>
        <w:rPr>
          <w:sz w:val="24"/>
          <w:szCs w:val="24"/>
        </w:rPr>
        <w:t>, and F. Mota, "Future use of AI in diagnostic medicine: 2-wave cross-sectional survey study," Journal of Medical Internet Research, vol. 27, p. e53892, 2025.</w:t>
      </w:r>
    </w:p>
    <w:p w14:paraId="3E6F517F" w14:textId="77777777" w:rsidR="009F344B" w:rsidRDefault="00000000">
      <w:pPr>
        <w:spacing w:after="80" w:line="276" w:lineRule="auto"/>
        <w:ind w:left="360" w:hanging="360"/>
      </w:pPr>
      <w:r>
        <w:rPr>
          <w:sz w:val="24"/>
          <w:szCs w:val="24"/>
        </w:rPr>
        <w:t>[3] O. Sabri, B. Al-</w:t>
      </w:r>
      <w:proofErr w:type="spellStart"/>
      <w:r>
        <w:rPr>
          <w:sz w:val="24"/>
          <w:szCs w:val="24"/>
        </w:rPr>
        <w:t>Shargabi</w:t>
      </w:r>
      <w:proofErr w:type="spellEnd"/>
      <w:r>
        <w:rPr>
          <w:sz w:val="24"/>
          <w:szCs w:val="24"/>
        </w:rPr>
        <w:t>, and A. Abuarqoub, "The role of artificial intelligence in improving diagnostic accuracy in medical imaging: A review," Computers, Materials &amp; Continua, vol. 85, no. 2, pp. 2443–2486, 2025.</w:t>
      </w:r>
    </w:p>
    <w:p w14:paraId="4F965A11" w14:textId="77777777" w:rsidR="009F344B" w:rsidRDefault="00000000">
      <w:pPr>
        <w:spacing w:after="80" w:line="276" w:lineRule="auto"/>
        <w:ind w:left="360" w:hanging="360"/>
      </w:pPr>
      <w:r>
        <w:rPr>
          <w:sz w:val="24"/>
          <w:szCs w:val="24"/>
        </w:rPr>
        <w:t>[4] E. Topol, Deep Medicine: How Artificial Intelligence Can Make Healthcare Human Again. New York, NY, USA: Basic Books, 2019.</w:t>
      </w:r>
    </w:p>
    <w:p w14:paraId="560A0B5A" w14:textId="77777777" w:rsidR="009F344B" w:rsidRDefault="00000000">
      <w:pPr>
        <w:spacing w:after="80" w:line="276" w:lineRule="auto"/>
        <w:ind w:left="360" w:hanging="360"/>
      </w:pPr>
      <w:r>
        <w:rPr>
          <w:sz w:val="24"/>
          <w:szCs w:val="24"/>
        </w:rPr>
        <w:t>[5] World Health Organization, Ethics and Governance of Artificial Intelligence for Health: WHO Guidance. Geneva, Switzerland: WHO, 2021.</w:t>
      </w:r>
    </w:p>
    <w:p w14:paraId="5A6258FB" w14:textId="77777777" w:rsidR="009F344B" w:rsidRDefault="00000000">
      <w:pPr>
        <w:spacing w:after="80" w:line="276" w:lineRule="auto"/>
        <w:ind w:left="360" w:hanging="360"/>
      </w:pPr>
      <w:r>
        <w:rPr>
          <w:sz w:val="24"/>
          <w:szCs w:val="24"/>
        </w:rPr>
        <w:t>[6] U.S. Food and Drug Administration, Artificial Intelligence/Machine Learning (AI/ML)-Based Software as a Medical Device (SaMD) Action Plan. Silver Spring, MD, USA: FDA, 2021.</w:t>
      </w:r>
    </w:p>
    <w:p w14:paraId="09FC747F" w14:textId="77777777" w:rsidR="009F344B" w:rsidRDefault="00000000">
      <w:pPr>
        <w:spacing w:after="80" w:line="276" w:lineRule="auto"/>
        <w:ind w:left="360" w:hanging="360"/>
      </w:pPr>
      <w:r>
        <w:rPr>
          <w:sz w:val="24"/>
          <w:szCs w:val="24"/>
        </w:rPr>
        <w:t>[7] International Electrotechnical Commission, Medical Device Software — Software Life Cycle Processes, IEC 62304:2006+AMD1:2015, IEC, 2015.</w:t>
      </w:r>
    </w:p>
    <w:p w14:paraId="350DE169" w14:textId="77777777" w:rsidR="009F344B" w:rsidRDefault="00000000">
      <w:pPr>
        <w:spacing w:after="80" w:line="276" w:lineRule="auto"/>
        <w:ind w:left="360" w:hanging="360"/>
      </w:pPr>
      <w:r>
        <w:rPr>
          <w:sz w:val="24"/>
          <w:szCs w:val="24"/>
        </w:rPr>
        <w:t>[8] International Organization for Standardization and International Electrotechnical Commission, Information Technology — Artificial Intelligence — AI System Life Cycle Processes, ISO/IEC 5338:2023, 2023.</w:t>
      </w:r>
    </w:p>
    <w:sectPr w:rsidR="009F34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F86"/>
    <w:multiLevelType w:val="hybridMultilevel"/>
    <w:tmpl w:val="1974D354"/>
    <w:lvl w:ilvl="0" w:tplc="CA78018A">
      <w:start w:val="1"/>
      <w:numFmt w:val="bullet"/>
      <w:lvlText w:val="●"/>
      <w:lvlJc w:val="left"/>
      <w:pPr>
        <w:ind w:left="720" w:hanging="360"/>
      </w:pPr>
    </w:lvl>
    <w:lvl w:ilvl="1" w:tplc="8480C096">
      <w:start w:val="1"/>
      <w:numFmt w:val="bullet"/>
      <w:lvlText w:val="○"/>
      <w:lvlJc w:val="left"/>
      <w:pPr>
        <w:ind w:left="1440" w:hanging="360"/>
      </w:pPr>
    </w:lvl>
    <w:lvl w:ilvl="2" w:tplc="B0308F7E">
      <w:start w:val="1"/>
      <w:numFmt w:val="bullet"/>
      <w:lvlText w:val="■"/>
      <w:lvlJc w:val="left"/>
      <w:pPr>
        <w:ind w:left="2160" w:hanging="360"/>
      </w:pPr>
    </w:lvl>
    <w:lvl w:ilvl="3" w:tplc="4496804C">
      <w:start w:val="1"/>
      <w:numFmt w:val="bullet"/>
      <w:lvlText w:val="●"/>
      <w:lvlJc w:val="left"/>
      <w:pPr>
        <w:ind w:left="2880" w:hanging="360"/>
      </w:pPr>
    </w:lvl>
    <w:lvl w:ilvl="4" w:tplc="58042424">
      <w:start w:val="1"/>
      <w:numFmt w:val="bullet"/>
      <w:lvlText w:val="○"/>
      <w:lvlJc w:val="left"/>
      <w:pPr>
        <w:ind w:left="3600" w:hanging="360"/>
      </w:pPr>
    </w:lvl>
    <w:lvl w:ilvl="5" w:tplc="BFDABE72">
      <w:start w:val="1"/>
      <w:numFmt w:val="bullet"/>
      <w:lvlText w:val="■"/>
      <w:lvlJc w:val="left"/>
      <w:pPr>
        <w:ind w:left="4320" w:hanging="360"/>
      </w:pPr>
    </w:lvl>
    <w:lvl w:ilvl="6" w:tplc="9208C75E">
      <w:start w:val="1"/>
      <w:numFmt w:val="bullet"/>
      <w:lvlText w:val="●"/>
      <w:lvlJc w:val="left"/>
      <w:pPr>
        <w:ind w:left="5040" w:hanging="360"/>
      </w:pPr>
    </w:lvl>
    <w:lvl w:ilvl="7" w:tplc="062AD184">
      <w:start w:val="1"/>
      <w:numFmt w:val="bullet"/>
      <w:lvlText w:val="●"/>
      <w:lvlJc w:val="left"/>
      <w:pPr>
        <w:ind w:left="5760" w:hanging="360"/>
      </w:pPr>
    </w:lvl>
    <w:lvl w:ilvl="8" w:tplc="68C84BC2">
      <w:start w:val="1"/>
      <w:numFmt w:val="bullet"/>
      <w:lvlText w:val="●"/>
      <w:lvlJc w:val="left"/>
      <w:pPr>
        <w:ind w:left="6480" w:hanging="360"/>
      </w:pPr>
    </w:lvl>
  </w:abstractNum>
  <w:num w:numId="1" w16cid:durableId="229968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44B"/>
    <w:rsid w:val="002E4670"/>
    <w:rsid w:val="004B1654"/>
    <w:rsid w:val="006745F5"/>
    <w:rsid w:val="009F344B"/>
    <w:rsid w:val="00FF6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E576"/>
  <w15:docId w15:val="{CB79A2BE-277B-4A14-B969-0EB9ABEA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Niraj (Cognizant)</cp:lastModifiedBy>
  <cp:revision>2</cp:revision>
  <dcterms:created xsi:type="dcterms:W3CDTF">2026-10-05T08:09:00Z</dcterms:created>
  <dcterms:modified xsi:type="dcterms:W3CDTF">2026-10-05T13:23:00Z</dcterms:modified>
</cp:coreProperties>
</file>