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E4F"/>
          <w:sz w:val="44"/>
        </w:rPr>
        <w:t>Quot PSE — Contracts &amp; Milestone Payment</w:t>
      </w:r>
    </w:p>
    <w:p>
      <w:pPr>
        <w:jc w:val="center"/>
      </w:pPr>
      <w:r>
        <w:rPr>
          <w:i/>
          <w:color w:val="6B7280"/>
          <w:sz w:val="26"/>
        </w:rPr>
        <w:t>End-to-End Process Flow — Start to Finish &amp; Payment</w:t>
      </w:r>
    </w:p>
    <w:p>
      <w:pPr>
        <w:jc w:val="center"/>
      </w:pPr>
      <w:r>
        <w:rPr>
          <w:color w:val="6B7280"/>
          <w:sz w:val="20"/>
        </w:rPr>
        <w:t>Public Sector ERP · Nigeria IFMIS · Delta State Pilot</w:t>
        <w:br/>
        <w:t>Module: contracts  |  Related: accounting, procurement, workflow</w:t>
      </w:r>
    </w:p>
    <w:p/>
    <w:p>
      <w:pPr>
        <w:pStyle w:val="Heading1"/>
      </w:pPr>
      <w:r>
        <w:rPr>
          <w:color w:val="0B2E4F"/>
        </w:rPr>
        <w:t>1. Does a Contract / IPC go through a GRN?</w:t>
      </w:r>
    </w:p>
    <w:p>
      <w:r>
        <w:rPr>
          <w:b w:val="0"/>
          <w:i w:val="0"/>
          <w:sz w:val="22"/>
        </w:rPr>
        <w:t>Short answer: No. A Goods Received Note (GRN) is a procurement artefact for goods-only purchase orders. Capital-works, consultancy, and services contracts that operate on physical progress (roads, buildings, maintenance, engineering studies) DO NOT pass through a GRN. Their evidence of delivery is the Engineer's Interim Payment Certificate (IPC).</w:t>
      </w:r>
    </w:p>
    <w:p>
      <w:r>
        <w:rPr>
          <w:b/>
          <w:i w:val="0"/>
          <w:sz w:val="22"/>
        </w:rPr>
        <w:t>Two parallel P2P rails exist in Quot PSE: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01"/>
            <w:shd w:val="clear" w:color="auto" w:fill="0B2E4F"/>
            <w:vAlign w:val="center"/>
          </w:tcPr>
          <w:p>
            <w:r/>
            <w:r>
              <w:rPr>
                <w:b/>
                <w:color w:val="FFFFFF"/>
                <w:sz w:val="20"/>
              </w:rPr>
              <w:t>Rail</w:t>
            </w:r>
          </w:p>
        </w:tc>
        <w:tc>
          <w:tcPr>
            <w:tcW w:type="dxa" w:w="1984"/>
            <w:shd w:val="clear" w:color="auto" w:fill="0B2E4F"/>
            <w:vAlign w:val="center"/>
          </w:tcPr>
          <w:p>
            <w:r/>
            <w:r>
              <w:rPr>
                <w:b/>
                <w:color w:val="FFFFFF"/>
                <w:sz w:val="20"/>
              </w:rPr>
              <w:t>Trigger</w:t>
            </w:r>
          </w:p>
        </w:tc>
        <w:tc>
          <w:tcPr>
            <w:tcW w:type="dxa" w:w="1984"/>
            <w:shd w:val="clear" w:color="auto" w:fill="0B2E4F"/>
            <w:vAlign w:val="center"/>
          </w:tcPr>
          <w:p>
            <w:r/>
            <w:r>
              <w:rPr>
                <w:b/>
                <w:color w:val="FFFFFF"/>
                <w:sz w:val="20"/>
              </w:rPr>
              <w:t>Evidence of delivery</w:t>
            </w:r>
          </w:p>
        </w:tc>
        <w:tc>
          <w:tcPr>
            <w:tcW w:type="dxa" w:w="2154"/>
            <w:shd w:val="clear" w:color="auto" w:fill="0B2E4F"/>
            <w:vAlign w:val="center"/>
          </w:tcPr>
          <w:p>
            <w:r/>
            <w:r>
              <w:rPr>
                <w:b/>
                <w:color w:val="FFFFFF"/>
                <w:sz w:val="20"/>
              </w:rPr>
              <w:t>Matching</w:t>
            </w:r>
          </w:p>
        </w:tc>
        <w:tc>
          <w:tcPr>
            <w:tcW w:type="dxa" w:w="1417"/>
            <w:shd w:val="clear" w:color="auto" w:fill="0B2E4F"/>
            <w:vAlign w:val="center"/>
          </w:tcPr>
          <w:p>
            <w:r/>
            <w:r>
              <w:rPr>
                <w:b/>
                <w:color w:val="FFFFFF"/>
                <w:sz w:val="20"/>
              </w:rPr>
              <w:t>Payment doc</w:t>
            </w:r>
          </w:p>
        </w:tc>
      </w:tr>
      <w:tr>
        <w:tc>
          <w:tcPr>
            <w:tcW w:type="dxa" w:w="1701"/>
            <w:vAlign w:val="center"/>
          </w:tcPr>
          <w:p>
            <w:r/>
            <w:r>
              <w:rPr>
                <w:sz w:val="20"/>
              </w:rPr>
              <w:t>Procurement (goods)</w:t>
            </w:r>
          </w:p>
        </w:tc>
        <w:tc>
          <w:tcPr>
            <w:tcW w:type="dxa" w:w="1984"/>
            <w:vAlign w:val="center"/>
          </w:tcPr>
          <w:p>
            <w:r/>
            <w:r>
              <w:rPr>
                <w:sz w:val="20"/>
              </w:rPr>
              <w:t>Purchase Requisition → Purchase Order</w:t>
            </w:r>
          </w:p>
        </w:tc>
        <w:tc>
          <w:tcPr>
            <w:tcW w:type="dxa" w:w="1984"/>
            <w:vAlign w:val="center"/>
          </w:tcPr>
          <w:p>
            <w:r/>
            <w:r>
              <w:rPr>
                <w:sz w:val="20"/>
              </w:rPr>
              <w:t>Goods Received Note (GRN)</w:t>
            </w:r>
          </w:p>
        </w:tc>
        <w:tc>
          <w:tcPr>
            <w:tcW w:type="dxa" w:w="2154"/>
            <w:vAlign w:val="center"/>
          </w:tcPr>
          <w:p>
            <w:r/>
            <w:r>
              <w:rPr>
                <w:sz w:val="20"/>
              </w:rPr>
              <w:t>3-way match: PO + GRN + Invoice</w:t>
            </w:r>
          </w:p>
        </w:tc>
        <w:tc>
          <w:tcPr>
            <w:tcW w:type="dxa" w:w="1417"/>
            <w:vAlign w:val="center"/>
          </w:tcPr>
          <w:p>
            <w:r/>
            <w:r>
              <w:rPr>
                <w:sz w:val="20"/>
              </w:rPr>
              <w:t>Payment Voucher</w:t>
            </w:r>
          </w:p>
        </w:tc>
      </w:tr>
      <w:tr>
        <w:tc>
          <w:tcPr>
            <w:tcW w:type="dxa" w:w="1701"/>
            <w:vAlign w:val="center"/>
          </w:tcPr>
          <w:p>
            <w:r/>
            <w:r>
              <w:rPr>
                <w:sz w:val="20"/>
              </w:rPr>
              <w:t>Contracts (works/services)</w:t>
            </w:r>
          </w:p>
        </w:tc>
        <w:tc>
          <w:tcPr>
            <w:tcW w:type="dxa" w:w="1984"/>
            <w:vAlign w:val="center"/>
          </w:tcPr>
          <w:p>
            <w:r/>
            <w:r>
              <w:rPr>
                <w:sz w:val="20"/>
              </w:rPr>
              <w:t>Contract award → Activate</w:t>
            </w:r>
          </w:p>
        </w:tc>
        <w:tc>
          <w:tcPr>
            <w:tcW w:type="dxa" w:w="1984"/>
            <w:vAlign w:val="center"/>
          </w:tcPr>
          <w:p>
            <w:r/>
            <w:r>
              <w:rPr>
                <w:sz w:val="20"/>
              </w:rPr>
              <w:t>Interim Payment Certificate (IPC)</w:t>
            </w:r>
          </w:p>
        </w:tc>
        <w:tc>
          <w:tcPr>
            <w:tcW w:type="dxa" w:w="2154"/>
            <w:vAlign w:val="center"/>
          </w:tcPr>
          <w:p>
            <w:r/>
            <w:r>
              <w:rPr>
                <w:sz w:val="20"/>
              </w:rPr>
              <w:t>3-way match: Contract + IPC + Voucher-gross</w:t>
            </w:r>
          </w:p>
        </w:tc>
        <w:tc>
          <w:tcPr>
            <w:tcW w:type="dxa" w:w="1417"/>
            <w:vAlign w:val="center"/>
          </w:tcPr>
          <w:p>
            <w:r/>
            <w:r>
              <w:rPr>
                <w:sz w:val="20"/>
              </w:rPr>
              <w:t>Payment Voucher</w:t>
            </w:r>
          </w:p>
        </w:tc>
      </w:tr>
    </w:tbl>
    <w:tbl>
      <w:tblPr>
        <w:tblW w:type="auto" w:w="0"/>
        <w:tblLayout w:type="autofit"/>
        <w:tblLook w:firstColumn="1" w:firstRow="1" w:lastColumn="0" w:lastRow="0" w:noHBand="0" w:noVBand="1" w:val="04A0"/>
      </w:tblPr>
      <w:tblGrid>
        <w:gridCol w:w="8640"/>
      </w:tblGrid>
      <w:tr>
        <w:tc>
          <w:tcPr>
            <w:tcW w:type="dxa" w:w="8640"/>
            <w:shd w:val="clear" w:color="auto" w:fill="E8F1FA"/>
          </w:tcPr>
          <w:p>
            <w:r/>
            <w:r>
              <w:rPr>
                <w:b/>
                <w:color w:val="0B2E4F"/>
                <w:sz w:val="22"/>
              </w:rPr>
              <w:t>Key distinction</w:t>
            </w:r>
          </w:p>
          <w:p>
            <w:r>
              <w:rPr>
                <w:sz w:val="20"/>
              </w:rPr>
              <w:t>The IPC is the works-equivalent of a GRN + invoice rolled into one. The certifying Engineer attests that work has physically been executed to the certified percentage, and the IPC itself becomes the claim on the treasury. Quot PSE enforces this separation via ALLOWED_IPC_TRANSITIONS in contracts/models/payment.py.</w:t>
            </w:r>
          </w:p>
        </w:tc>
      </w:tr>
    </w:tbl>
    <w:p>
      <w:r>
        <w:br w:type="page"/>
      </w:r>
    </w:p>
    <w:p>
      <w:pPr>
        <w:pStyle w:val="Heading1"/>
      </w:pPr>
      <w:r>
        <w:rPr>
          <w:color w:val="0B2E4F"/>
        </w:rPr>
        <w:t>2. Contract Lifecycle (State Machine)</w:t>
      </w:r>
    </w:p>
    <w:p>
      <w:r>
        <w:rPr>
          <w:b w:val="0"/>
          <w:i w:val="0"/>
          <w:sz w:val="22"/>
        </w:rPr>
        <w:t>Every contract advances through seven states. Transitions are enforced by ALLOWED_CONTRACT_TRANSITIONS; any attempt to skip a state is rejected with a clear error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454"/>
            <w:shd w:val="clear" w:color="auto" w:fill="0B2E4F"/>
            <w:vAlign w:val="center"/>
          </w:tcPr>
          <w:p>
            <w:r/>
            <w:r>
              <w:rPr>
                <w:b/>
                <w:color w:val="FFFFFF"/>
                <w:sz w:val="20"/>
              </w:rPr>
              <w:t>#</w:t>
            </w:r>
          </w:p>
        </w:tc>
        <w:tc>
          <w:tcPr>
            <w:tcW w:type="dxa" w:w="1701"/>
            <w:shd w:val="clear" w:color="auto" w:fill="0B2E4F"/>
            <w:vAlign w:val="center"/>
          </w:tcPr>
          <w:p>
            <w:r/>
            <w:r>
              <w:rPr>
                <w:b/>
                <w:color w:val="FFFFFF"/>
                <w:sz w:val="20"/>
              </w:rPr>
              <w:t>State</w:t>
            </w:r>
          </w:p>
        </w:tc>
        <w:tc>
          <w:tcPr>
            <w:tcW w:type="dxa" w:w="3855"/>
            <w:shd w:val="clear" w:color="auto" w:fill="0B2E4F"/>
            <w:vAlign w:val="center"/>
          </w:tcPr>
          <w:p>
            <w:r/>
            <w:r>
              <w:rPr>
                <w:b/>
                <w:color w:val="FFFFFF"/>
                <w:sz w:val="20"/>
              </w:rPr>
              <w:t>Meaning</w:t>
            </w:r>
          </w:p>
        </w:tc>
        <w:tc>
          <w:tcPr>
            <w:tcW w:type="dxa" w:w="2608"/>
            <w:shd w:val="clear" w:color="auto" w:fill="0B2E4F"/>
            <w:vAlign w:val="center"/>
          </w:tcPr>
          <w:p>
            <w:r/>
            <w:r>
              <w:rPr>
                <w:b/>
                <w:color w:val="FFFFFF"/>
                <w:sz w:val="20"/>
              </w:rPr>
              <w:t>Unlocks</w:t>
            </w:r>
          </w:p>
        </w:tc>
      </w:tr>
      <w:tr>
        <w:tc>
          <w:tcPr>
            <w:tcW w:type="dxa" w:w="454"/>
            <w:vAlign w:val="center"/>
          </w:tcPr>
          <w:p>
            <w:r/>
            <w:r>
              <w:rPr>
                <w:sz w:val="20"/>
              </w:rPr>
              <w:t>1</w:t>
            </w:r>
          </w:p>
        </w:tc>
        <w:tc>
          <w:tcPr>
            <w:tcW w:type="dxa" w:w="1701"/>
            <w:vAlign w:val="center"/>
          </w:tcPr>
          <w:p>
            <w:r/>
            <w:r>
              <w:rPr>
                <w:sz w:val="20"/>
              </w:rPr>
              <w:t>DRAFT</w:t>
            </w:r>
          </w:p>
        </w:tc>
        <w:tc>
          <w:tcPr>
            <w:tcW w:type="dxa" w:w="3855"/>
            <w:vAlign w:val="center"/>
          </w:tcPr>
          <w:p>
            <w:r/>
            <w:r>
              <w:rPr>
                <w:sz w:val="20"/>
              </w:rPr>
              <w:t>Awarded, not yet operational.</w:t>
            </w:r>
          </w:p>
        </w:tc>
        <w:tc>
          <w:tcPr>
            <w:tcW w:type="dxa" w:w="2608"/>
            <w:vAlign w:val="center"/>
          </w:tcPr>
          <w:p>
            <w:r/>
            <w:r>
              <w:rPr>
                <w:sz w:val="20"/>
              </w:rPr>
              <w:t>Edit; Activate</w:t>
            </w:r>
          </w:p>
        </w:tc>
      </w:tr>
      <w:tr>
        <w:tc>
          <w:tcPr>
            <w:tcW w:type="dxa" w:w="454"/>
            <w:vAlign w:val="center"/>
          </w:tcPr>
          <w:p>
            <w:r/>
            <w:r>
              <w:rPr>
                <w:sz w:val="20"/>
              </w:rPr>
              <w:t>2</w:t>
            </w:r>
          </w:p>
        </w:tc>
        <w:tc>
          <w:tcPr>
            <w:tcW w:type="dxa" w:w="1701"/>
            <w:vAlign w:val="center"/>
          </w:tcPr>
          <w:p>
            <w:r/>
            <w:r>
              <w:rPr>
                <w:sz w:val="20"/>
              </w:rPr>
              <w:t>ACTIVATED</w:t>
            </w:r>
          </w:p>
        </w:tc>
        <w:tc>
          <w:tcPr>
            <w:tcW w:type="dxa" w:w="3855"/>
            <w:vAlign w:val="center"/>
          </w:tcPr>
          <w:p>
            <w:r/>
            <w:r>
              <w:rPr>
                <w:sz w:val="20"/>
              </w:rPr>
              <w:t>Contract number assigned, balance ledger materialised.</w:t>
            </w:r>
          </w:p>
        </w:tc>
        <w:tc>
          <w:tcPr>
            <w:tcW w:type="dxa" w:w="2608"/>
            <w:vAlign w:val="center"/>
          </w:tcPr>
          <w:p>
            <w:r/>
            <w:r>
              <w:rPr>
                <w:sz w:val="20"/>
              </w:rPr>
              <w:t>Mobilization advance; IPCs; Variations</w:t>
            </w:r>
          </w:p>
        </w:tc>
      </w:tr>
      <w:tr>
        <w:tc>
          <w:tcPr>
            <w:tcW w:type="dxa" w:w="454"/>
            <w:vAlign w:val="center"/>
          </w:tcPr>
          <w:p>
            <w:r/>
            <w:r>
              <w:rPr>
                <w:sz w:val="20"/>
              </w:rPr>
              <w:t>3</w:t>
            </w:r>
          </w:p>
        </w:tc>
        <w:tc>
          <w:tcPr>
            <w:tcW w:type="dxa" w:w="1701"/>
            <w:vAlign w:val="center"/>
          </w:tcPr>
          <w:p>
            <w:r/>
            <w:r>
              <w:rPr>
                <w:sz w:val="20"/>
              </w:rPr>
              <w:t>IN_PROGRESS</w:t>
            </w:r>
          </w:p>
        </w:tc>
        <w:tc>
          <w:tcPr>
            <w:tcW w:type="dxa" w:w="3855"/>
            <w:vAlign w:val="center"/>
          </w:tcPr>
          <w:p>
            <w:r/>
            <w:r>
              <w:rPr>
                <w:sz w:val="20"/>
              </w:rPr>
              <w:t>Physical execution underway.</w:t>
            </w:r>
          </w:p>
        </w:tc>
        <w:tc>
          <w:tcPr>
            <w:tcW w:type="dxa" w:w="2608"/>
            <w:vAlign w:val="center"/>
          </w:tcPr>
          <w:p>
            <w:r/>
            <w:r>
              <w:rPr>
                <w:sz w:val="20"/>
              </w:rPr>
              <w:t>Periodic IPCs; Variations; Measurement Books</w:t>
            </w:r>
          </w:p>
        </w:tc>
      </w:tr>
      <w:tr>
        <w:tc>
          <w:tcPr>
            <w:tcW w:type="dxa" w:w="454"/>
            <w:vAlign w:val="center"/>
          </w:tcPr>
          <w:p>
            <w:r/>
            <w:r>
              <w:rPr>
                <w:sz w:val="20"/>
              </w:rPr>
              <w:t>4</w:t>
            </w:r>
          </w:p>
        </w:tc>
        <w:tc>
          <w:tcPr>
            <w:tcW w:type="dxa" w:w="1701"/>
            <w:vAlign w:val="center"/>
          </w:tcPr>
          <w:p>
            <w:r/>
            <w:r>
              <w:rPr>
                <w:sz w:val="20"/>
              </w:rPr>
              <w:t>PRACTICAL_COMPLETION</w:t>
            </w:r>
          </w:p>
        </w:tc>
        <w:tc>
          <w:tcPr>
            <w:tcW w:type="dxa" w:w="3855"/>
            <w:vAlign w:val="center"/>
          </w:tcPr>
          <w:p>
            <w:r/>
            <w:r>
              <w:rPr>
                <w:sz w:val="20"/>
              </w:rPr>
              <w:t>Engineer has issued Practical Completion Certificate.</w:t>
            </w:r>
          </w:p>
        </w:tc>
        <w:tc>
          <w:tcPr>
            <w:tcW w:type="dxa" w:w="2608"/>
            <w:vAlign w:val="center"/>
          </w:tcPr>
          <w:p>
            <w:r/>
            <w:r>
              <w:rPr>
                <w:sz w:val="20"/>
              </w:rPr>
              <w:t>Release of first half of retention</w:t>
            </w:r>
          </w:p>
        </w:tc>
      </w:tr>
      <w:tr>
        <w:tc>
          <w:tcPr>
            <w:tcW w:type="dxa" w:w="454"/>
            <w:vAlign w:val="center"/>
          </w:tcPr>
          <w:p>
            <w:r/>
            <w:r>
              <w:rPr>
                <w:sz w:val="20"/>
              </w:rPr>
              <w:t>5</w:t>
            </w:r>
          </w:p>
        </w:tc>
        <w:tc>
          <w:tcPr>
            <w:tcW w:type="dxa" w:w="1701"/>
            <w:vAlign w:val="center"/>
          </w:tcPr>
          <w:p>
            <w:r/>
            <w:r>
              <w:rPr>
                <w:sz w:val="20"/>
              </w:rPr>
              <w:t>DEFECTS_LIABILITY</w:t>
            </w:r>
          </w:p>
        </w:tc>
        <w:tc>
          <w:tcPr>
            <w:tcW w:type="dxa" w:w="3855"/>
            <w:vAlign w:val="center"/>
          </w:tcPr>
          <w:p>
            <w:r/>
            <w:r>
              <w:rPr>
                <w:sz w:val="20"/>
              </w:rPr>
              <w:t>Defects Liability Period (DLP) running.</w:t>
            </w:r>
          </w:p>
        </w:tc>
        <w:tc>
          <w:tcPr>
            <w:tcW w:type="dxa" w:w="2608"/>
            <w:vAlign w:val="center"/>
          </w:tcPr>
          <w:p>
            <w:r/>
            <w:r>
              <w:rPr>
                <w:sz w:val="20"/>
              </w:rPr>
              <w:t>Defect rectification; second half of retention still held</w:t>
            </w:r>
          </w:p>
        </w:tc>
      </w:tr>
      <w:tr>
        <w:tc>
          <w:tcPr>
            <w:tcW w:type="dxa" w:w="454"/>
            <w:vAlign w:val="center"/>
          </w:tcPr>
          <w:p>
            <w:r/>
            <w:r>
              <w:rPr>
                <w:sz w:val="20"/>
              </w:rPr>
              <w:t>6</w:t>
            </w:r>
          </w:p>
        </w:tc>
        <w:tc>
          <w:tcPr>
            <w:tcW w:type="dxa" w:w="1701"/>
            <w:vAlign w:val="center"/>
          </w:tcPr>
          <w:p>
            <w:r/>
            <w:r>
              <w:rPr>
                <w:sz w:val="20"/>
              </w:rPr>
              <w:t>FINAL_COMPLETION</w:t>
            </w:r>
          </w:p>
        </w:tc>
        <w:tc>
          <w:tcPr>
            <w:tcW w:type="dxa" w:w="3855"/>
            <w:vAlign w:val="center"/>
          </w:tcPr>
          <w:p>
            <w:r/>
            <w:r>
              <w:rPr>
                <w:sz w:val="20"/>
              </w:rPr>
              <w:t>End of DLP; Final Completion Certificate issued.</w:t>
            </w:r>
          </w:p>
        </w:tc>
        <w:tc>
          <w:tcPr>
            <w:tcW w:type="dxa" w:w="2608"/>
            <w:vAlign w:val="center"/>
          </w:tcPr>
          <w:p>
            <w:r/>
            <w:r>
              <w:rPr>
                <w:sz w:val="20"/>
              </w:rPr>
              <w:t>Release of final retention</w:t>
            </w:r>
          </w:p>
        </w:tc>
      </w:tr>
      <w:tr>
        <w:tc>
          <w:tcPr>
            <w:tcW w:type="dxa" w:w="454"/>
            <w:vAlign w:val="center"/>
          </w:tcPr>
          <w:p>
            <w:r/>
            <w:r>
              <w:rPr>
                <w:sz w:val="20"/>
              </w:rPr>
              <w:t>7</w:t>
            </w:r>
          </w:p>
        </w:tc>
        <w:tc>
          <w:tcPr>
            <w:tcW w:type="dxa" w:w="1701"/>
            <w:vAlign w:val="center"/>
          </w:tcPr>
          <w:p>
            <w:r/>
            <w:r>
              <w:rPr>
                <w:sz w:val="20"/>
              </w:rPr>
              <w:t>CLOSED</w:t>
            </w:r>
          </w:p>
        </w:tc>
        <w:tc>
          <w:tcPr>
            <w:tcW w:type="dxa" w:w="3855"/>
            <w:vAlign w:val="center"/>
          </w:tcPr>
          <w:p>
            <w:r/>
            <w:r>
              <w:rPr>
                <w:sz w:val="20"/>
              </w:rPr>
              <w:t>Terminal. All payments reconciled.</w:t>
            </w:r>
          </w:p>
        </w:tc>
        <w:tc>
          <w:tcPr>
            <w:tcW w:type="dxa" w:w="2608"/>
            <w:vAlign w:val="center"/>
          </w:tcPr>
          <w:p>
            <w:r/>
            <w:r>
              <w:rPr>
                <w:sz w:val="20"/>
              </w:rPr>
              <w:t>Audit only</w:t>
            </w:r>
          </w:p>
        </w:tc>
      </w:tr>
    </w:tbl>
    <w:p>
      <w:r>
        <w:br w:type="page"/>
      </w:r>
    </w:p>
    <w:p>
      <w:pPr>
        <w:pStyle w:val="Heading1"/>
      </w:pPr>
      <w:r>
        <w:rPr>
          <w:color w:val="0B2E4F"/>
        </w:rPr>
        <w:t>3. IPC Lifecycle (State Machine)</w:t>
      </w:r>
    </w:p>
    <w:p>
      <w:r>
        <w:rPr>
          <w:b w:val="0"/>
          <w:i w:val="0"/>
          <w:sz w:val="22"/>
        </w:rPr>
        <w:t>The Interim Payment Certificate is the payable unit for works contracts. Each IPC moves linearly through seven states and can never skip a stage. Rejections kick the IPC back to DRAFT for rework.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454"/>
            <w:shd w:val="clear" w:color="auto" w:fill="0B2E4F"/>
            <w:vAlign w:val="center"/>
          </w:tcPr>
          <w:p>
            <w:r/>
            <w:r>
              <w:rPr>
                <w:b/>
                <w:color w:val="FFFFFF"/>
                <w:sz w:val="20"/>
              </w:rPr>
              <w:t>#</w:t>
            </w:r>
          </w:p>
        </w:tc>
        <w:tc>
          <w:tcPr>
            <w:tcW w:type="dxa" w:w="1984"/>
            <w:shd w:val="clear" w:color="auto" w:fill="0B2E4F"/>
            <w:vAlign w:val="center"/>
          </w:tcPr>
          <w:p>
            <w:r/>
            <w:r>
              <w:rPr>
                <w:b/>
                <w:color w:val="FFFFFF"/>
                <w:sz w:val="20"/>
              </w:rPr>
              <w:t>IPC State</w:t>
            </w:r>
          </w:p>
        </w:tc>
        <w:tc>
          <w:tcPr>
            <w:tcW w:type="dxa" w:w="2551"/>
            <w:shd w:val="clear" w:color="auto" w:fill="0B2E4F"/>
            <w:vAlign w:val="center"/>
          </w:tcPr>
          <w:p>
            <w:r/>
            <w:r>
              <w:rPr>
                <w:b/>
                <w:color w:val="FFFFFF"/>
                <w:sz w:val="20"/>
              </w:rPr>
              <w:t>Actor</w:t>
            </w:r>
          </w:p>
        </w:tc>
        <w:tc>
          <w:tcPr>
            <w:tcW w:type="dxa" w:w="3685"/>
            <w:shd w:val="clear" w:color="auto" w:fill="0B2E4F"/>
            <w:vAlign w:val="center"/>
          </w:tcPr>
          <w:p>
            <w:r/>
            <w:r>
              <w:rPr>
                <w:b/>
                <w:color w:val="FFFFFF"/>
                <w:sz w:val="20"/>
              </w:rPr>
              <w:t>Action</w:t>
            </w:r>
          </w:p>
        </w:tc>
      </w:tr>
      <w:tr>
        <w:tc>
          <w:tcPr>
            <w:tcW w:type="dxa" w:w="454"/>
            <w:vAlign w:val="center"/>
          </w:tcPr>
          <w:p>
            <w:r/>
            <w:r>
              <w:rPr>
                <w:sz w:val="20"/>
              </w:rPr>
              <w:t>1</w:t>
            </w:r>
          </w:p>
        </w:tc>
        <w:tc>
          <w:tcPr>
            <w:tcW w:type="dxa" w:w="1984"/>
            <w:vAlign w:val="center"/>
          </w:tcPr>
          <w:p>
            <w:r/>
            <w:r>
              <w:rPr>
                <w:sz w:val="20"/>
              </w:rPr>
              <w:t>DRAFT</w:t>
            </w:r>
          </w:p>
        </w:tc>
        <w:tc>
          <w:tcPr>
            <w:tcW w:type="dxa" w:w="2551"/>
            <w:vAlign w:val="center"/>
          </w:tcPr>
          <w:p>
            <w:r/>
            <w:r>
              <w:rPr>
                <w:sz w:val="20"/>
              </w:rPr>
              <w:t>Site Engineer / Contractor rep.</w:t>
            </w:r>
          </w:p>
        </w:tc>
        <w:tc>
          <w:tcPr>
            <w:tcW w:type="dxa" w:w="3685"/>
            <w:vAlign w:val="center"/>
          </w:tcPr>
          <w:p>
            <w:r/>
            <w:r>
              <w:rPr>
                <w:sz w:val="20"/>
              </w:rPr>
              <w:t>Prepare quantities, rates, measurement references.</w:t>
            </w:r>
          </w:p>
        </w:tc>
      </w:tr>
      <w:tr>
        <w:tc>
          <w:tcPr>
            <w:tcW w:type="dxa" w:w="454"/>
            <w:vAlign w:val="center"/>
          </w:tcPr>
          <w:p>
            <w:r/>
            <w:r>
              <w:rPr>
                <w:sz w:val="20"/>
              </w:rPr>
              <w:t>2</w:t>
            </w:r>
          </w:p>
        </w:tc>
        <w:tc>
          <w:tcPr>
            <w:tcW w:type="dxa" w:w="1984"/>
            <w:vAlign w:val="center"/>
          </w:tcPr>
          <w:p>
            <w:r/>
            <w:r>
              <w:rPr>
                <w:sz w:val="20"/>
              </w:rPr>
              <w:t>SUBMITTED</w:t>
            </w:r>
          </w:p>
        </w:tc>
        <w:tc>
          <w:tcPr>
            <w:tcW w:type="dxa" w:w="2551"/>
            <w:vAlign w:val="center"/>
          </w:tcPr>
          <w:p>
            <w:r/>
            <w:r>
              <w:rPr>
                <w:sz w:val="20"/>
              </w:rPr>
              <w:t>Site Engineer</w:t>
            </w:r>
          </w:p>
        </w:tc>
        <w:tc>
          <w:tcPr>
            <w:tcW w:type="dxa" w:w="3685"/>
            <w:vAlign w:val="center"/>
          </w:tcPr>
          <w:p>
            <w:r/>
            <w:r>
              <w:rPr>
                <w:sz w:val="20"/>
              </w:rPr>
              <w:t>Submit to Certifier. Integrity hash is frozen.</w:t>
            </w:r>
          </w:p>
        </w:tc>
      </w:tr>
      <w:tr>
        <w:tc>
          <w:tcPr>
            <w:tcW w:type="dxa" w:w="454"/>
            <w:vAlign w:val="center"/>
          </w:tcPr>
          <w:p>
            <w:r/>
            <w:r>
              <w:rPr>
                <w:sz w:val="20"/>
              </w:rPr>
              <w:t>3</w:t>
            </w:r>
          </w:p>
        </w:tc>
        <w:tc>
          <w:tcPr>
            <w:tcW w:type="dxa" w:w="1984"/>
            <w:vAlign w:val="center"/>
          </w:tcPr>
          <w:p>
            <w:r/>
            <w:r>
              <w:rPr>
                <w:sz w:val="20"/>
              </w:rPr>
              <w:t>CERTIFIER_REVIEWED</w:t>
            </w:r>
          </w:p>
        </w:tc>
        <w:tc>
          <w:tcPr>
            <w:tcW w:type="dxa" w:w="2551"/>
            <w:vAlign w:val="center"/>
          </w:tcPr>
          <w:p>
            <w:r/>
            <w:r>
              <w:rPr>
                <w:sz w:val="20"/>
              </w:rPr>
              <w:t>Project Engineer / Certifier</w:t>
            </w:r>
          </w:p>
        </w:tc>
        <w:tc>
          <w:tcPr>
            <w:tcW w:type="dxa" w:w="3685"/>
            <w:vAlign w:val="center"/>
          </w:tcPr>
          <w:p>
            <w:r/>
            <w:r>
              <w:rPr>
                <w:sz w:val="20"/>
              </w:rPr>
              <w:t>Cross-check against Measurement Book. Cannot be the same user as the submitter (SoD).</w:t>
            </w:r>
          </w:p>
        </w:tc>
      </w:tr>
      <w:tr>
        <w:tc>
          <w:tcPr>
            <w:tcW w:type="dxa" w:w="454"/>
            <w:vAlign w:val="center"/>
          </w:tcPr>
          <w:p>
            <w:r/>
            <w:r>
              <w:rPr>
                <w:sz w:val="20"/>
              </w:rPr>
              <w:t>4</w:t>
            </w:r>
          </w:p>
        </w:tc>
        <w:tc>
          <w:tcPr>
            <w:tcW w:type="dxa" w:w="1984"/>
            <w:vAlign w:val="center"/>
          </w:tcPr>
          <w:p>
            <w:r/>
            <w:r>
              <w:rPr>
                <w:sz w:val="20"/>
              </w:rPr>
              <w:t>APPROVED</w:t>
            </w:r>
          </w:p>
        </w:tc>
        <w:tc>
          <w:tcPr>
            <w:tcW w:type="dxa" w:w="2551"/>
            <w:vAlign w:val="center"/>
          </w:tcPr>
          <w:p>
            <w:r/>
            <w:r>
              <w:rPr>
                <w:sz w:val="20"/>
              </w:rPr>
              <w:t>Procurement Officer / Approver</w:t>
            </w:r>
          </w:p>
        </w:tc>
        <w:tc>
          <w:tcPr>
            <w:tcW w:type="dxa" w:w="3685"/>
            <w:vAlign w:val="center"/>
          </w:tcPr>
          <w:p>
            <w:r/>
            <w:r>
              <w:rPr>
                <w:sz w:val="20"/>
              </w:rPr>
              <w:t>Financial approval. Cannot be the certifier (SoD).</w:t>
            </w:r>
          </w:p>
        </w:tc>
      </w:tr>
      <w:tr>
        <w:tc>
          <w:tcPr>
            <w:tcW w:type="dxa" w:w="454"/>
            <w:vAlign w:val="center"/>
          </w:tcPr>
          <w:p>
            <w:r/>
            <w:r>
              <w:rPr>
                <w:sz w:val="20"/>
              </w:rPr>
              <w:t>5</w:t>
            </w:r>
          </w:p>
        </w:tc>
        <w:tc>
          <w:tcPr>
            <w:tcW w:type="dxa" w:w="1984"/>
            <w:vAlign w:val="center"/>
          </w:tcPr>
          <w:p>
            <w:r/>
            <w:r>
              <w:rPr>
                <w:sz w:val="20"/>
              </w:rPr>
              <w:t>VOUCHER_RAISED</w:t>
            </w:r>
          </w:p>
        </w:tc>
        <w:tc>
          <w:tcPr>
            <w:tcW w:type="dxa" w:w="2551"/>
            <w:vAlign w:val="center"/>
          </w:tcPr>
          <w:p>
            <w:r/>
            <w:r>
              <w:rPr>
                <w:sz w:val="20"/>
              </w:rPr>
              <w:t>Accounts Payable</w:t>
            </w:r>
          </w:p>
        </w:tc>
        <w:tc>
          <w:tcPr>
            <w:tcW w:type="dxa" w:w="3685"/>
            <w:vAlign w:val="center"/>
          </w:tcPr>
          <w:p>
            <w:r/>
            <w:r>
              <w:rPr>
                <w:sz w:val="20"/>
              </w:rPr>
              <w:t>Raise Payment Voucher in Treasury module. Three-way-match validated: voucher_gross == IPC.net_payable.</w:t>
            </w:r>
          </w:p>
        </w:tc>
      </w:tr>
      <w:tr>
        <w:tc>
          <w:tcPr>
            <w:tcW w:type="dxa" w:w="454"/>
            <w:vAlign w:val="center"/>
          </w:tcPr>
          <w:p>
            <w:r/>
            <w:r>
              <w:rPr>
                <w:sz w:val="20"/>
              </w:rPr>
              <w:t>6</w:t>
            </w:r>
          </w:p>
        </w:tc>
        <w:tc>
          <w:tcPr>
            <w:tcW w:type="dxa" w:w="1984"/>
            <w:vAlign w:val="center"/>
          </w:tcPr>
          <w:p>
            <w:r/>
            <w:r>
              <w:rPr>
                <w:sz w:val="20"/>
              </w:rPr>
              <w:t>PAID</w:t>
            </w:r>
          </w:p>
        </w:tc>
        <w:tc>
          <w:tcPr>
            <w:tcW w:type="dxa" w:w="2551"/>
            <w:vAlign w:val="center"/>
          </w:tcPr>
          <w:p>
            <w:r/>
            <w:r>
              <w:rPr>
                <w:sz w:val="20"/>
              </w:rPr>
              <w:t>Treasury / Cashier</w:t>
            </w:r>
          </w:p>
        </w:tc>
        <w:tc>
          <w:tcPr>
            <w:tcW w:type="dxa" w:w="3685"/>
            <w:vAlign w:val="center"/>
          </w:tcPr>
          <w:p>
            <w:r/>
            <w:r>
              <w:rPr>
                <w:sz w:val="20"/>
              </w:rPr>
              <w:t>Mark paid. VAT and WHT recorded at this point (FIRS cash-basis). Accrual journal posted.</w:t>
            </w:r>
          </w:p>
        </w:tc>
      </w:tr>
      <w:tr>
        <w:tc>
          <w:tcPr>
            <w:tcW w:type="dxa" w:w="454"/>
            <w:vAlign w:val="center"/>
          </w:tcPr>
          <w:p>
            <w:r/>
            <w:r>
              <w:rPr>
                <w:sz w:val="20"/>
              </w:rPr>
              <w:t>—</w:t>
            </w:r>
          </w:p>
        </w:tc>
        <w:tc>
          <w:tcPr>
            <w:tcW w:type="dxa" w:w="1984"/>
            <w:vAlign w:val="center"/>
          </w:tcPr>
          <w:p>
            <w:r/>
            <w:r>
              <w:rPr>
                <w:sz w:val="20"/>
              </w:rPr>
              <w:t>REJECTED</w:t>
            </w:r>
          </w:p>
        </w:tc>
        <w:tc>
          <w:tcPr>
            <w:tcW w:type="dxa" w:w="2551"/>
            <w:vAlign w:val="center"/>
          </w:tcPr>
          <w:p>
            <w:r/>
            <w:r>
              <w:rPr>
                <w:sz w:val="20"/>
              </w:rPr>
              <w:t>Any reviewer</w:t>
            </w:r>
          </w:p>
        </w:tc>
        <w:tc>
          <w:tcPr>
            <w:tcW w:type="dxa" w:w="3685"/>
            <w:vAlign w:val="center"/>
          </w:tcPr>
          <w:p>
            <w:r/>
            <w:r>
              <w:rPr>
                <w:sz w:val="20"/>
              </w:rPr>
              <w:t>Returns to DRAFT for rework with rejection_reason captured.</w:t>
            </w:r>
          </w:p>
        </w:tc>
      </w:tr>
    </w:tbl>
    <w:tbl>
      <w:tblPr>
        <w:tblW w:type="auto" w:w="0"/>
        <w:tblLayout w:type="autofit"/>
        <w:tblLook w:firstColumn="1" w:firstRow="1" w:lastColumn="0" w:lastRow="0" w:noHBand="0" w:noVBand="1" w:val="04A0"/>
      </w:tblPr>
      <w:tblGrid>
        <w:gridCol w:w="8640"/>
      </w:tblGrid>
      <w:tr>
        <w:tc>
          <w:tcPr>
            <w:tcW w:type="dxa" w:w="8640"/>
            <w:shd w:val="clear" w:color="auto" w:fill="E8F1FA"/>
          </w:tcPr>
          <w:p>
            <w:r/>
            <w:r>
              <w:rPr>
                <w:b/>
                <w:color w:val="0B2E4F"/>
                <w:sz w:val="22"/>
              </w:rPr>
              <w:t>Segregation of Duties (SoD)</w:t>
            </w:r>
          </w:p>
          <w:p>
            <w:r>
              <w:rPr>
                <w:sz w:val="20"/>
              </w:rPr>
              <w:t>Enforced via contracts.services.sod.actor_can_bypass_sod. Default rule: Submitter ≠ Certifier ≠ Approver. Superusers and users with an explicit bypass permission may override, but the override is audit-logged.</w:t>
            </w:r>
          </w:p>
        </w:tc>
      </w:tr>
    </w:tbl>
    <w:p>
      <w:r>
        <w:br w:type="page"/>
      </w:r>
    </w:p>
    <w:p>
      <w:pPr>
        <w:pStyle w:val="Heading1"/>
      </w:pPr>
      <w:r>
        <w:rPr>
          <w:color w:val="0B2E4F"/>
        </w:rPr>
        <w:t>4. Full Process Flow — Start to Finish</w:t>
      </w:r>
    </w:p>
    <w:p>
      <w:r>
        <w:rPr>
          <w:b w:val="0"/>
          <w:i/>
          <w:color w:val="6B7280"/>
          <w:sz w:val="22"/>
        </w:rPr>
        <w:t>The numbered steps below are the real sequence executed by the services layer and observed end-to-end by scripts/e2e_contracts_workflow.py.</w:t>
      </w:r>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1</w:t>
            </w:r>
          </w:p>
        </w:tc>
        <w:tc>
          <w:tcPr>
            <w:tcW w:type="dxa" w:w="3118"/>
            <w:shd w:val="clear" w:color="auto" w:fill="F4F8FC"/>
          </w:tcPr>
          <w:p>
            <w:r/>
            <w:r>
              <w:rPr>
                <w:b/>
                <w:color w:val="0B2E4F"/>
                <w:sz w:val="22"/>
              </w:rPr>
              <w:t>Create Contract (DRAFT)</w:t>
            </w:r>
          </w:p>
          <w:p>
            <w:r>
              <w:rPr>
                <w:i/>
                <w:color w:val="6B7280"/>
                <w:sz w:val="18"/>
              </w:rPr>
              <w:t>Actor: Procurement Officer</w:t>
            </w:r>
          </w:p>
        </w:tc>
        <w:tc>
          <w:tcPr>
            <w:tcW w:type="dxa" w:w="5386"/>
            <w:shd w:val="clear" w:color="auto" w:fill="FFFFFF"/>
          </w:tcPr>
          <w:p>
            <w:r/>
            <w:r>
              <w:rPr>
                <w:sz w:val="20"/>
              </w:rPr>
              <w:t>POST /api/v1/contracts/contracts/. Required: title, reference, contract_type, procurement_method, vendor, MDA, NCoA code, appropriation, fiscal_year, original_sum, mobilization_rate (≤15%), retention_rate (typically 10%), signed_date, contract_start_date, contract_end_date, defects_liability_period_days.</w:t>
            </w:r>
          </w:p>
        </w:tc>
      </w:tr>
    </w:tbl>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2</w:t>
            </w:r>
          </w:p>
        </w:tc>
        <w:tc>
          <w:tcPr>
            <w:tcW w:type="dxa" w:w="3118"/>
            <w:shd w:val="clear" w:color="auto" w:fill="F4F8FC"/>
          </w:tcPr>
          <w:p>
            <w:r/>
            <w:r>
              <w:rPr>
                <w:b/>
                <w:color w:val="0B2E4F"/>
                <w:sz w:val="22"/>
              </w:rPr>
              <w:t>Define Milestone Schedule</w:t>
            </w:r>
          </w:p>
          <w:p>
            <w:r>
              <w:rPr>
                <w:i/>
                <w:color w:val="6B7280"/>
                <w:sz w:val="18"/>
              </w:rPr>
              <w:t>Actor: Project Engineer</w:t>
            </w:r>
          </w:p>
        </w:tc>
        <w:tc>
          <w:tcPr>
            <w:tcW w:type="dxa" w:w="5386"/>
            <w:shd w:val="clear" w:color="auto" w:fill="FFFFFF"/>
          </w:tcPr>
          <w:p>
            <w:r/>
            <w:r>
              <w:rPr>
                <w:sz w:val="20"/>
              </w:rPr>
              <w:t>Attach MilestoneSchedule rows: milestone_number, description, scheduled_value, percentage_weight, target_date. Sum of scheduled_value must ≤ original_sum. Milestones drive valuation of IPC line items.</w:t>
            </w:r>
          </w:p>
        </w:tc>
      </w:tr>
    </w:tbl>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3</w:t>
            </w:r>
          </w:p>
        </w:tc>
        <w:tc>
          <w:tcPr>
            <w:tcW w:type="dxa" w:w="3118"/>
            <w:shd w:val="clear" w:color="auto" w:fill="F4F8FC"/>
          </w:tcPr>
          <w:p>
            <w:r/>
            <w:r>
              <w:rPr>
                <w:b/>
                <w:color w:val="0B2E4F"/>
                <w:sz w:val="22"/>
              </w:rPr>
              <w:t>Activate Contract (ACTIVATED)</w:t>
            </w:r>
          </w:p>
          <w:p>
            <w:r>
              <w:rPr>
                <w:i/>
                <w:color w:val="6B7280"/>
                <w:sz w:val="18"/>
              </w:rPr>
              <w:t>Actor: MDA Head + Finance</w:t>
            </w:r>
          </w:p>
        </w:tc>
        <w:tc>
          <w:tcPr>
            <w:tcW w:type="dxa" w:w="5386"/>
            <w:shd w:val="clear" w:color="auto" w:fill="FFFFFF"/>
          </w:tcPr>
          <w:p>
            <w:r/>
            <w:r>
              <w:rPr>
                <w:sz w:val="20"/>
              </w:rPr>
              <w:t>POST /contracts/{id}/activate/. Generates official contract_number, materialises ContractBalance ledger (mob_advance, retention_held, certified_to_date, paid_to_date = 0), opens IPC and variation endpoints.</w:t>
            </w:r>
          </w:p>
        </w:tc>
      </w:tr>
    </w:tbl>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4</w:t>
            </w:r>
          </w:p>
        </w:tc>
        <w:tc>
          <w:tcPr>
            <w:tcW w:type="dxa" w:w="3118"/>
            <w:shd w:val="clear" w:color="auto" w:fill="F4F8FC"/>
          </w:tcPr>
          <w:p>
            <w:r/>
            <w:r>
              <w:rPr>
                <w:b/>
                <w:color w:val="0B2E4F"/>
                <w:sz w:val="22"/>
              </w:rPr>
              <w:t>(Optional) Mobilization Advance</w:t>
            </w:r>
          </w:p>
          <w:p>
            <w:r>
              <w:rPr>
                <w:i/>
                <w:color w:val="6B7280"/>
                <w:sz w:val="18"/>
              </w:rPr>
              <w:t>Actor: Accounts Payable</w:t>
            </w:r>
          </w:p>
        </w:tc>
        <w:tc>
          <w:tcPr>
            <w:tcW w:type="dxa" w:w="5386"/>
            <w:shd w:val="clear" w:color="auto" w:fill="FFFFFF"/>
          </w:tcPr>
          <w:p>
            <w:r/>
            <w:r>
              <w:rPr>
                <w:sz w:val="20"/>
              </w:rPr>
              <w:t>MobilizationService.raise_voucher → mark_paid. Advance = mobilization_rate × original_sum. Recovered pro-rata from each subsequent IPC's gross via mobilization_recovery_this_cert.</w:t>
            </w:r>
          </w:p>
        </w:tc>
      </w:tr>
    </w:tbl>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5</w:t>
            </w:r>
          </w:p>
        </w:tc>
        <w:tc>
          <w:tcPr>
            <w:tcW w:type="dxa" w:w="3118"/>
            <w:shd w:val="clear" w:color="auto" w:fill="F4F8FC"/>
          </w:tcPr>
          <w:p>
            <w:r/>
            <w:r>
              <w:rPr>
                <w:b/>
                <w:color w:val="0B2E4F"/>
                <w:sz w:val="22"/>
              </w:rPr>
              <w:t>Contract moves to IN_PROGRESS</w:t>
            </w:r>
          </w:p>
          <w:p>
            <w:r>
              <w:rPr>
                <w:i/>
                <w:color w:val="6B7280"/>
                <w:sz w:val="18"/>
              </w:rPr>
              <w:t>Actor: Project Engineer</w:t>
            </w:r>
          </w:p>
        </w:tc>
        <w:tc>
          <w:tcPr>
            <w:tcW w:type="dxa" w:w="5386"/>
            <w:shd w:val="clear" w:color="auto" w:fill="FFFFFF"/>
          </w:tcPr>
          <w:p>
            <w:r/>
            <w:r>
              <w:rPr>
                <w:sz w:val="20"/>
              </w:rPr>
              <w:t>Contract.transition_to(IN_PROGRESS). Triggered when first IPC is submitted or via explicit transition call.</w:t>
            </w:r>
          </w:p>
        </w:tc>
      </w:tr>
    </w:tbl>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6</w:t>
            </w:r>
          </w:p>
        </w:tc>
        <w:tc>
          <w:tcPr>
            <w:tcW w:type="dxa" w:w="3118"/>
            <w:shd w:val="clear" w:color="auto" w:fill="F4F8FC"/>
          </w:tcPr>
          <w:p>
            <w:r/>
            <w:r>
              <w:rPr>
                <w:b/>
                <w:color w:val="0B2E4F"/>
                <w:sz w:val="22"/>
              </w:rPr>
              <w:t>Prepare IPC (DRAFT)</w:t>
            </w:r>
          </w:p>
          <w:p>
            <w:r>
              <w:rPr>
                <w:i/>
                <w:color w:val="6B7280"/>
                <w:sz w:val="18"/>
              </w:rPr>
              <w:t>Actor: Site Engineer</w:t>
            </w:r>
          </w:p>
        </w:tc>
        <w:tc>
          <w:tcPr>
            <w:tcW w:type="dxa" w:w="5386"/>
            <w:shd w:val="clear" w:color="auto" w:fill="FFFFFF"/>
          </w:tcPr>
          <w:p>
            <w:r/>
            <w:r>
              <w:rPr>
                <w:sz w:val="20"/>
              </w:rPr>
              <w:t>Capture cumulative_work_done_to_date, previous_certified, variation_claims, ld_deduction. System computes: this_certificate_gross, retention_deduction_this_cert, mobilization_recovery_this_cert, net_payable.</w:t>
            </w:r>
          </w:p>
        </w:tc>
      </w:tr>
    </w:tbl>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7</w:t>
            </w:r>
          </w:p>
        </w:tc>
        <w:tc>
          <w:tcPr>
            <w:tcW w:type="dxa" w:w="3118"/>
            <w:shd w:val="clear" w:color="auto" w:fill="F4F8FC"/>
          </w:tcPr>
          <w:p>
            <w:r/>
            <w:r>
              <w:rPr>
                <w:b/>
                <w:color w:val="0B2E4F"/>
                <w:sz w:val="22"/>
              </w:rPr>
              <w:t>Submit IPC (DRAFT → SUBMITTED)</w:t>
            </w:r>
          </w:p>
          <w:p>
            <w:r>
              <w:rPr>
                <w:i/>
                <w:color w:val="6B7280"/>
                <w:sz w:val="18"/>
              </w:rPr>
              <w:t>Actor: Site Engineer</w:t>
            </w:r>
          </w:p>
        </w:tc>
        <w:tc>
          <w:tcPr>
            <w:tcW w:type="dxa" w:w="5386"/>
            <w:shd w:val="clear" w:color="auto" w:fill="FFFFFF"/>
          </w:tcPr>
          <w:p>
            <w:r/>
            <w:r>
              <w:rPr>
                <w:sz w:val="20"/>
              </w:rPr>
              <w:t>IPCService.submit_ipc. Integrity hash of line items is frozen; any subsequent edit must re-enter via REJECTED → DRAFT.</w:t>
            </w:r>
          </w:p>
        </w:tc>
      </w:tr>
    </w:tbl>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8</w:t>
            </w:r>
          </w:p>
        </w:tc>
        <w:tc>
          <w:tcPr>
            <w:tcW w:type="dxa" w:w="3118"/>
            <w:shd w:val="clear" w:color="auto" w:fill="F4F8FC"/>
          </w:tcPr>
          <w:p>
            <w:r/>
            <w:r>
              <w:rPr>
                <w:b/>
                <w:color w:val="0B2E4F"/>
                <w:sz w:val="22"/>
              </w:rPr>
              <w:t>Engineer Certifies (SUBMITTED → CERTIFIER_REVIEWED)</w:t>
            </w:r>
          </w:p>
          <w:p>
            <w:r>
              <w:rPr>
                <w:i/>
                <w:color w:val="6B7280"/>
                <w:sz w:val="18"/>
              </w:rPr>
              <w:t>Actor: Certifier (different user)</w:t>
            </w:r>
          </w:p>
        </w:tc>
        <w:tc>
          <w:tcPr>
            <w:tcW w:type="dxa" w:w="5386"/>
            <w:shd w:val="clear" w:color="auto" w:fill="FFFFFF"/>
          </w:tcPr>
          <w:p>
            <w:r/>
            <w:r>
              <w:rPr>
                <w:sz w:val="20"/>
              </w:rPr>
              <w:t>IPCService.certify. SoD guard blocks submitter from certifying. Measurement Book reference can be attached for defensibility.</w:t>
            </w:r>
          </w:p>
        </w:tc>
      </w:tr>
    </w:tbl>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9</w:t>
            </w:r>
          </w:p>
        </w:tc>
        <w:tc>
          <w:tcPr>
            <w:tcW w:type="dxa" w:w="3118"/>
            <w:shd w:val="clear" w:color="auto" w:fill="F4F8FC"/>
          </w:tcPr>
          <w:p>
            <w:r/>
            <w:r>
              <w:rPr>
                <w:b/>
                <w:color w:val="0B2E4F"/>
                <w:sz w:val="22"/>
              </w:rPr>
              <w:t>Financial Approval (CERTIFIER_REVIEWED → APPROVED)</w:t>
            </w:r>
          </w:p>
          <w:p>
            <w:r>
              <w:rPr>
                <w:i/>
                <w:color w:val="6B7280"/>
                <w:sz w:val="18"/>
              </w:rPr>
              <w:t>Actor: Approver (different user)</w:t>
            </w:r>
          </w:p>
        </w:tc>
        <w:tc>
          <w:tcPr>
            <w:tcW w:type="dxa" w:w="5386"/>
            <w:shd w:val="clear" w:color="auto" w:fill="FFFFFF"/>
          </w:tcPr>
          <w:p>
            <w:r/>
            <w:r>
              <w:rPr>
                <w:sz w:val="20"/>
              </w:rPr>
              <w:t>IPCService.approve. Control checks: cumulative_certified ≤ contract_ceiling; ceiling = original_sum + Σ(approved variations).</w:t>
            </w:r>
          </w:p>
        </w:tc>
      </w:tr>
    </w:tbl>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10</w:t>
            </w:r>
          </w:p>
        </w:tc>
        <w:tc>
          <w:tcPr>
            <w:tcW w:type="dxa" w:w="3118"/>
            <w:shd w:val="clear" w:color="auto" w:fill="F4F8FC"/>
          </w:tcPr>
          <w:p>
            <w:r/>
            <w:r>
              <w:rPr>
                <w:b/>
                <w:color w:val="0B2E4F"/>
                <w:sz w:val="22"/>
              </w:rPr>
              <w:t>Raise Payment Voucher (APPROVED → VOUCHER_RAISED)</w:t>
            </w:r>
          </w:p>
          <w:p>
            <w:r>
              <w:rPr>
                <w:i/>
                <w:color w:val="6B7280"/>
                <w:sz w:val="18"/>
              </w:rPr>
              <w:t>Actor: Accounts Payable</w:t>
            </w:r>
          </w:p>
        </w:tc>
        <w:tc>
          <w:tcPr>
            <w:tcW w:type="dxa" w:w="5386"/>
            <w:shd w:val="clear" w:color="auto" w:fill="FFFFFF"/>
          </w:tcPr>
          <w:p>
            <w:r/>
            <w:r>
              <w:rPr>
                <w:sz w:val="20"/>
              </w:rPr>
              <w:t>Create PaymentVoucherGov (voucher_number, payment_type, tsa_account, gross_amount, wht_amount, net_amount, narration). IPCService.raise_voucher performs the 3-way match: abs(voucher_gross - ipc.net_payable) ≤ COHERENCE_TOLERANCE, else ThreeWayMatchError.</w:t>
            </w:r>
          </w:p>
        </w:tc>
      </w:tr>
    </w:tbl>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11</w:t>
            </w:r>
          </w:p>
        </w:tc>
        <w:tc>
          <w:tcPr>
            <w:tcW w:type="dxa" w:w="3118"/>
            <w:shd w:val="clear" w:color="auto" w:fill="F4F8FC"/>
          </w:tcPr>
          <w:p>
            <w:r/>
            <w:r>
              <w:rPr>
                <w:b/>
                <w:color w:val="0B2E4F"/>
                <w:sz w:val="22"/>
              </w:rPr>
              <w:t>Mark Paid (VOUCHER_RAISED → PAID)</w:t>
            </w:r>
          </w:p>
          <w:p>
            <w:r>
              <w:rPr>
                <w:i/>
                <w:color w:val="6B7280"/>
                <w:sz w:val="18"/>
              </w:rPr>
              <w:t>Actor: Treasury / Cashier</w:t>
            </w:r>
          </w:p>
        </w:tc>
        <w:tc>
          <w:tcPr>
            <w:tcW w:type="dxa" w:w="5386"/>
            <w:shd w:val="clear" w:color="auto" w:fill="FFFFFF"/>
          </w:tcPr>
          <w:p>
            <w:r/>
            <w:r>
              <w:rPr>
                <w:sz w:val="20"/>
              </w:rPr>
              <w:t>IPCService.mark_paid(payment_date, vat_amount, wht_amount). Posts accrual journal; updates ContractBalance.cumulative_gross_paid; records FIRS tax liability (cash-basis). Retention is held; not paid to vendor.</w:t>
            </w:r>
          </w:p>
        </w:tc>
      </w:tr>
    </w:tbl>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12</w:t>
            </w:r>
          </w:p>
        </w:tc>
        <w:tc>
          <w:tcPr>
            <w:tcW w:type="dxa" w:w="3118"/>
            <w:shd w:val="clear" w:color="auto" w:fill="F4F8FC"/>
          </w:tcPr>
          <w:p>
            <w:r/>
            <w:r>
              <w:rPr>
                <w:b/>
                <w:color w:val="0B2E4F"/>
                <w:sz w:val="22"/>
              </w:rPr>
              <w:t>(If any) Variation Orders</w:t>
            </w:r>
          </w:p>
          <w:p>
            <w:r>
              <w:rPr>
                <w:i/>
                <w:color w:val="6B7280"/>
                <w:sz w:val="18"/>
              </w:rPr>
              <w:t>Actor: Engineer + Approver Tier</w:t>
            </w:r>
          </w:p>
        </w:tc>
        <w:tc>
          <w:tcPr>
            <w:tcW w:type="dxa" w:w="5386"/>
            <w:shd w:val="clear" w:color="auto" w:fill="FFFFFF"/>
          </w:tcPr>
          <w:p>
            <w:r/>
            <w:r>
              <w:rPr>
                <w:sz w:val="20"/>
              </w:rPr>
              <w:t>ContractVariation auto-computes approval_tier: LOCAL ≤15%, BOARD ≤25%, BPP_REQUIRED &gt;25% of original_sum. Only APPROVED variations raise the ceiling.</w:t>
            </w:r>
          </w:p>
        </w:tc>
      </w:tr>
    </w:tbl>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13</w:t>
            </w:r>
          </w:p>
        </w:tc>
        <w:tc>
          <w:tcPr>
            <w:tcW w:type="dxa" w:w="3118"/>
            <w:shd w:val="clear" w:color="auto" w:fill="F4F8FC"/>
          </w:tcPr>
          <w:p>
            <w:r/>
            <w:r>
              <w:rPr>
                <w:b/>
                <w:color w:val="0B2E4F"/>
                <w:sz w:val="22"/>
              </w:rPr>
              <w:t>Practical Completion</w:t>
            </w:r>
          </w:p>
          <w:p>
            <w:r>
              <w:rPr>
                <w:i/>
                <w:color w:val="6B7280"/>
                <w:sz w:val="18"/>
              </w:rPr>
              <w:t>Actor: Engineer</w:t>
            </w:r>
          </w:p>
        </w:tc>
        <w:tc>
          <w:tcPr>
            <w:tcW w:type="dxa" w:w="5386"/>
            <w:shd w:val="clear" w:color="auto" w:fill="FFFFFF"/>
          </w:tcPr>
          <w:p>
            <w:r/>
            <w:r>
              <w:rPr>
                <w:sz w:val="20"/>
              </w:rPr>
              <w:t>Issue CompletionCertificate (PRACTICAL). Contract → PRACTICAL_COMPLETION. RetentionService releases the first half: raise_voucher → mark_paid.</w:t>
            </w:r>
          </w:p>
        </w:tc>
      </w:tr>
    </w:tbl>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14</w:t>
            </w:r>
          </w:p>
        </w:tc>
        <w:tc>
          <w:tcPr>
            <w:tcW w:type="dxa" w:w="3118"/>
            <w:shd w:val="clear" w:color="auto" w:fill="F4F8FC"/>
          </w:tcPr>
          <w:p>
            <w:r/>
            <w:r>
              <w:rPr>
                <w:b/>
                <w:color w:val="0B2E4F"/>
                <w:sz w:val="22"/>
              </w:rPr>
              <w:t>Defects Liability Period</w:t>
            </w:r>
          </w:p>
          <w:p>
            <w:r>
              <w:rPr>
                <w:i/>
                <w:color w:val="6B7280"/>
                <w:sz w:val="18"/>
              </w:rPr>
              <w:t>Actor: MDA + Vendor</w:t>
            </w:r>
          </w:p>
        </w:tc>
        <w:tc>
          <w:tcPr>
            <w:tcW w:type="dxa" w:w="5386"/>
            <w:shd w:val="clear" w:color="auto" w:fill="FFFFFF"/>
          </w:tcPr>
          <w:p>
            <w:r/>
            <w:r>
              <w:rPr>
                <w:sz w:val="20"/>
              </w:rPr>
              <w:t>Contract → DEFECTS_LIABILITY. Duration = contract.defects_liability_period_days. Defect rectifications are zero-value IPCs or variations.</w:t>
            </w:r>
          </w:p>
        </w:tc>
      </w:tr>
    </w:tbl>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15</w:t>
            </w:r>
          </w:p>
        </w:tc>
        <w:tc>
          <w:tcPr>
            <w:tcW w:type="dxa" w:w="3118"/>
            <w:shd w:val="clear" w:color="auto" w:fill="F4F8FC"/>
          </w:tcPr>
          <w:p>
            <w:r/>
            <w:r>
              <w:rPr>
                <w:b/>
                <w:color w:val="0B2E4F"/>
                <w:sz w:val="22"/>
              </w:rPr>
              <w:t>Final Completion</w:t>
            </w:r>
          </w:p>
          <w:p>
            <w:r>
              <w:rPr>
                <w:i/>
                <w:color w:val="6B7280"/>
                <w:sz w:val="18"/>
              </w:rPr>
              <w:t>Actor: Engineer</w:t>
            </w:r>
          </w:p>
        </w:tc>
        <w:tc>
          <w:tcPr>
            <w:tcW w:type="dxa" w:w="5386"/>
            <w:shd w:val="clear" w:color="auto" w:fill="FFFFFF"/>
          </w:tcPr>
          <w:p>
            <w:r/>
            <w:r>
              <w:rPr>
                <w:sz w:val="20"/>
              </w:rPr>
              <w:t>End of DLP + no outstanding defects. Final CompletionCertificate issued. Contract → FINAL_COMPLETION.</w:t>
            </w:r>
          </w:p>
        </w:tc>
      </w:tr>
    </w:tbl>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16</w:t>
            </w:r>
          </w:p>
        </w:tc>
        <w:tc>
          <w:tcPr>
            <w:tcW w:type="dxa" w:w="3118"/>
            <w:shd w:val="clear" w:color="auto" w:fill="F4F8FC"/>
          </w:tcPr>
          <w:p>
            <w:r/>
            <w:r>
              <w:rPr>
                <w:b/>
                <w:color w:val="0B2E4F"/>
                <w:sz w:val="22"/>
              </w:rPr>
              <w:t>Release Final Retention</w:t>
            </w:r>
          </w:p>
          <w:p>
            <w:r>
              <w:rPr>
                <w:i/>
                <w:color w:val="6B7280"/>
                <w:sz w:val="18"/>
              </w:rPr>
              <w:t>Actor: Accounts Payable + Treasury</w:t>
            </w:r>
          </w:p>
        </w:tc>
        <w:tc>
          <w:tcPr>
            <w:tcW w:type="dxa" w:w="5386"/>
            <w:shd w:val="clear" w:color="auto" w:fill="FFFFFF"/>
          </w:tcPr>
          <w:p>
            <w:r/>
            <w:r>
              <w:rPr>
                <w:sz w:val="20"/>
              </w:rPr>
              <w:t>RetentionService.raise_voucher → mark_paid on the remaining retention pool. ContractBalance.retention_held → 0.</w:t>
            </w:r>
          </w:p>
        </w:tc>
      </w:tr>
    </w:tbl>
    <w:p/>
    <w:tbl>
      <w:tblPr>
        <w:tblW w:type="auto" w:w="0"/>
        <w:tblLayout w:type="autofit"/>
        <w:tblLook w:firstColumn="1" w:firstRow="1" w:lastColumn="0" w:lastRow="0" w:noHBand="0" w:noVBand="1" w:val="04A0"/>
      </w:tblPr>
      <w:tblGrid>
        <w:gridCol w:w="2880"/>
        <w:gridCol w:w="2880"/>
        <w:gridCol w:w="2880"/>
      </w:tblGrid>
      <w:tr>
        <w:tc>
          <w:tcPr>
            <w:tcW w:type="dxa" w:w="680"/>
            <w:shd w:val="clear" w:color="auto" w:fill="1F6FB5"/>
            <w:vAlign w:val="center"/>
          </w:tcPr>
          <w:p>
            <w:pPr>
              <w:jc w:val="center"/>
            </w:pPr>
            <w:r/>
            <w:r>
              <w:rPr>
                <w:b/>
                <w:color w:val="FFFFFF"/>
                <w:sz w:val="28"/>
              </w:rPr>
              <w:t>17</w:t>
            </w:r>
          </w:p>
        </w:tc>
        <w:tc>
          <w:tcPr>
            <w:tcW w:type="dxa" w:w="3118"/>
            <w:shd w:val="clear" w:color="auto" w:fill="F4F8FC"/>
          </w:tcPr>
          <w:p>
            <w:r/>
            <w:r>
              <w:rPr>
                <w:b/>
                <w:color w:val="0B2E4F"/>
                <w:sz w:val="22"/>
              </w:rPr>
              <w:t>Close Contract</w:t>
            </w:r>
          </w:p>
          <w:p>
            <w:r>
              <w:rPr>
                <w:i/>
                <w:color w:val="6B7280"/>
                <w:sz w:val="18"/>
              </w:rPr>
              <w:t>Actor: Procurement Officer</w:t>
            </w:r>
          </w:p>
        </w:tc>
        <w:tc>
          <w:tcPr>
            <w:tcW w:type="dxa" w:w="5386"/>
            <w:shd w:val="clear" w:color="auto" w:fill="FFFFFF"/>
          </w:tcPr>
          <w:p>
            <w:r/>
            <w:r>
              <w:rPr>
                <w:sz w:val="20"/>
              </w:rPr>
              <w:t>POST /contracts/{id}/close/. Control checks: cumulative_gross_certified == cumulative_gross_paid + retention_released; no open IPCs; no pending variations. Contract → CLOSED (terminal).</w:t>
            </w:r>
          </w:p>
        </w:tc>
      </w:tr>
    </w:tbl>
    <w:p/>
    <w:p>
      <w:r>
        <w:br w:type="page"/>
      </w:r>
    </w:p>
    <w:p>
      <w:pPr>
        <w:pStyle w:val="Heading1"/>
      </w:pPr>
      <w:r>
        <w:rPr>
          <w:color w:val="0B2E4F"/>
        </w:rPr>
        <w:t>5. Process-Flow Diagram (Text)</w:t>
      </w:r>
    </w:p>
    <w:p>
      <w:r>
        <w:rPr>
          <w:b w:val="0"/>
          <w:i/>
          <w:color w:val="6B7280"/>
          <w:sz w:val="22"/>
        </w:rPr>
        <w:t>ASCII representation suitable for pasting into presentations or rendering to graphviz. Dashed edges are optional; solid edges are mandatory state transitions.</w:t>
      </w:r>
    </w:p>
    <w:p>
      <w:r>
        <w:rPr>
          <w:rFonts w:ascii="Consolas" w:hAnsi="Consolas"/>
          <w:sz w:val="18"/>
        </w:rPr>
        <w:t>CONTRACT LIFECYCLE</w:t>
        <w:br/>
        <w:t>------------------</w:t>
        <w:br/>
        <w:t xml:space="preserve">   [Award]</w:t>
        <w:br/>
        <w:t xml:space="preserve">      |</w:t>
        <w:br/>
        <w:t xml:space="preserve">      v</w:t>
        <w:br/>
        <w:t xml:space="preserve">  (DRAFT) --activate--&gt; (ACTIVATED) --first IPC--&gt; (IN_PROGRESS)</w:t>
        <w:br/>
        <w:t xml:space="preserve">                             |                            |</w:t>
        <w:br/>
        <w:t xml:space="preserve">                             |                            v</w:t>
        <w:br/>
        <w:t xml:space="preserve">                             |               (PRACTICAL_COMPLETION)</w:t>
        <w:br/>
        <w:t xml:space="preserve">                             |                            |</w:t>
        <w:br/>
        <w:t xml:space="preserve">                             |                            v</w:t>
        <w:br/>
        <w:t xml:space="preserve">                             |                 (DEFECTS_LIABILITY)</w:t>
        <w:br/>
        <w:t xml:space="preserve">                             |                            |</w:t>
        <w:br/>
        <w:t xml:space="preserve">                             |                            v</w:t>
        <w:br/>
        <w:t xml:space="preserve">                             |                  (FINAL_COMPLETION)</w:t>
        <w:br/>
        <w:t xml:space="preserve">                             |                            |</w:t>
        <w:br/>
        <w:t xml:space="preserve">                             +---- retention &amp; close -----+</w:t>
        <w:br/>
        <w:t xml:space="preserve">                                          |</w:t>
        <w:br/>
        <w:t xml:space="preserve">                                          v</w:t>
        <w:br/>
        <w:t xml:space="preserve">                                      (CLOSED)</w:t>
        <w:br/>
        <w:br/>
        <w:t>IPC LIFECYCLE (per payment period)</w:t>
        <w:br/>
        <w:t>----------------------------------</w:t>
        <w:br/>
        <w:t xml:space="preserve">  (DRAFT) --submit--&gt; (SUBMITTED) --certify--&gt; (CERTIFIER_REVIEWED)</w:t>
        <w:br/>
        <w:t xml:space="preserve">      ^                   |                        |</w:t>
        <w:br/>
        <w:t xml:space="preserve">      |                reject                   reject</w:t>
        <w:br/>
        <w:t xml:space="preserve">      |                   v                        v</w:t>
        <w:br/>
        <w:t xml:space="preserve">      +--- (REJECTED) &lt;--+----- approve -----&gt; (APPROVED)</w:t>
        <w:br/>
        <w:t xml:space="preserve">                                                   |</w:t>
        <w:br/>
        <w:t xml:space="preserve">                                            raise voucher</w:t>
        <w:br/>
        <w:t xml:space="preserve">                                                   v</w:t>
        <w:br/>
        <w:t xml:space="preserve">                                         (VOUCHER_RAISED)</w:t>
        <w:br/>
        <w:t xml:space="preserve">                                                   |</w:t>
        <w:br/>
        <w:t xml:space="preserve">                                                mark paid</w:t>
        <w:br/>
        <w:t xml:space="preserve">                                                   v</w:t>
        <w:br/>
        <w:t xml:space="preserve">                                                (PAID)</w:t>
        <w:br/>
        <w:br/>
        <w:t>WORKS vs GOODS (Payment Evidence)</w:t>
        <w:br/>
        <w:t>---------------------------------</w:t>
        <w:br/>
        <w:t xml:space="preserve">  GOODS (procurement):    PR -&gt; PO -&gt; GRN -&gt; Invoice -&gt; 3-way-match -&gt; PV -&gt; Pay</w:t>
        <w:br/>
        <w:t xml:space="preserve">  WORKS (contracts):      Contract -&gt; Activate -&gt; IPC (cert'd) ------&gt; PV -&gt; Pay</w:t>
        <w:br/>
        <w:t xml:space="preserve">                                                   ^</w:t>
        <w:br/>
        <w:t xml:space="preserve">                                                   +-- IPC replaces GRN+Invoice</w:t>
        <w:br/>
      </w:r>
    </w:p>
    <w:p>
      <w:r>
        <w:br w:type="page"/>
      </w:r>
    </w:p>
    <w:p>
      <w:pPr>
        <w:pStyle w:val="Heading1"/>
      </w:pPr>
      <w:r>
        <w:rPr>
          <w:color w:val="0B2E4F"/>
        </w:rPr>
        <w:t>6. Financial Controls &amp; Computations</w:t>
      </w:r>
    </w:p>
    <w:tbl>
      <w:tblPr>
        <w:tblStyle w:val="LightGrid-Accent1"/>
        <w:tblW w:type="auto" w:w="0"/>
        <w:tblLook w:firstColumn="1" w:firstRow="1" w:lastColumn="0" w:lastRow="0" w:noHBand="0" w:noVBand="1" w:val="04A0"/>
      </w:tblPr>
      <w:tblGrid>
        <w:gridCol w:w="2880"/>
        <w:gridCol w:w="2880"/>
        <w:gridCol w:w="2880"/>
      </w:tblGrid>
      <w:tr>
        <w:tc>
          <w:tcPr>
            <w:tcW w:type="dxa" w:w="2268"/>
            <w:shd w:val="clear" w:color="auto" w:fill="0B2E4F"/>
            <w:vAlign w:val="center"/>
          </w:tcPr>
          <w:p>
            <w:r/>
            <w:r>
              <w:rPr>
                <w:b/>
                <w:color w:val="FFFFFF"/>
                <w:sz w:val="20"/>
              </w:rPr>
              <w:t>Control</w:t>
            </w:r>
          </w:p>
        </w:tc>
        <w:tc>
          <w:tcPr>
            <w:tcW w:type="dxa" w:w="2551"/>
            <w:shd w:val="clear" w:color="auto" w:fill="0B2E4F"/>
            <w:vAlign w:val="center"/>
          </w:tcPr>
          <w:p>
            <w:r/>
            <w:r>
              <w:rPr>
                <w:b/>
                <w:color w:val="FFFFFF"/>
                <w:sz w:val="20"/>
              </w:rPr>
              <w:t>Where enforced</w:t>
            </w:r>
          </w:p>
        </w:tc>
        <w:tc>
          <w:tcPr>
            <w:tcW w:type="dxa" w:w="3685"/>
            <w:shd w:val="clear" w:color="auto" w:fill="0B2E4F"/>
            <w:vAlign w:val="center"/>
          </w:tcPr>
          <w:p>
            <w:r/>
            <w:r>
              <w:rPr>
                <w:b/>
                <w:color w:val="FFFFFF"/>
                <w:sz w:val="20"/>
              </w:rPr>
              <w:t>Formula / Rule</w:t>
            </w:r>
          </w:p>
        </w:tc>
      </w:tr>
      <w:tr>
        <w:tc>
          <w:tcPr>
            <w:tcW w:type="dxa" w:w="2268"/>
            <w:vAlign w:val="center"/>
          </w:tcPr>
          <w:p>
            <w:r/>
            <w:r>
              <w:rPr>
                <w:sz w:val="20"/>
              </w:rPr>
              <w:t>Ceiling never breached</w:t>
            </w:r>
          </w:p>
        </w:tc>
        <w:tc>
          <w:tcPr>
            <w:tcW w:type="dxa" w:w="2551"/>
            <w:vAlign w:val="center"/>
          </w:tcPr>
          <w:p>
            <w:r/>
            <w:r>
              <w:rPr>
                <w:sz w:val="20"/>
              </w:rPr>
              <w:t>IPCService.approve, ContractVariation.save</w:t>
            </w:r>
          </w:p>
        </w:tc>
        <w:tc>
          <w:tcPr>
            <w:tcW w:type="dxa" w:w="3685"/>
            <w:vAlign w:val="center"/>
          </w:tcPr>
          <w:p>
            <w:r/>
            <w:r>
              <w:rPr>
                <w:sz w:val="20"/>
              </w:rPr>
              <w:t>Σ(certified) ≤ original_sum + Σ(approved variations).</w:t>
            </w:r>
          </w:p>
        </w:tc>
      </w:tr>
      <w:tr>
        <w:tc>
          <w:tcPr>
            <w:tcW w:type="dxa" w:w="2268"/>
            <w:vAlign w:val="center"/>
          </w:tcPr>
          <w:p>
            <w:r/>
            <w:r>
              <w:rPr>
                <w:sz w:val="20"/>
              </w:rPr>
              <w:t>Retention held on every IPC</w:t>
            </w:r>
          </w:p>
        </w:tc>
        <w:tc>
          <w:tcPr>
            <w:tcW w:type="dxa" w:w="2551"/>
            <w:vAlign w:val="center"/>
          </w:tcPr>
          <w:p>
            <w:r/>
            <w:r>
              <w:rPr>
                <w:sz w:val="20"/>
              </w:rPr>
              <w:t>IPCService._compute_deductions</w:t>
            </w:r>
          </w:p>
        </w:tc>
        <w:tc>
          <w:tcPr>
            <w:tcW w:type="dxa" w:w="3685"/>
            <w:vAlign w:val="center"/>
          </w:tcPr>
          <w:p>
            <w:r/>
            <w:r>
              <w:rPr>
                <w:sz w:val="20"/>
              </w:rPr>
              <w:t>retention_deduction_this_cert = this_certificate_gross × retention_rate%.</w:t>
            </w:r>
          </w:p>
        </w:tc>
      </w:tr>
      <w:tr>
        <w:tc>
          <w:tcPr>
            <w:tcW w:type="dxa" w:w="2268"/>
            <w:vAlign w:val="center"/>
          </w:tcPr>
          <w:p>
            <w:r/>
            <w:r>
              <w:rPr>
                <w:sz w:val="20"/>
              </w:rPr>
              <w:t>Mobilization recovery</w:t>
            </w:r>
          </w:p>
        </w:tc>
        <w:tc>
          <w:tcPr>
            <w:tcW w:type="dxa" w:w="2551"/>
            <w:vAlign w:val="center"/>
          </w:tcPr>
          <w:p>
            <w:r/>
            <w:r>
              <w:rPr>
                <w:sz w:val="20"/>
              </w:rPr>
              <w:t>MobilizationService.reconcile_payment_status</w:t>
            </w:r>
          </w:p>
        </w:tc>
        <w:tc>
          <w:tcPr>
            <w:tcW w:type="dxa" w:w="3685"/>
            <w:vAlign w:val="center"/>
          </w:tcPr>
          <w:p>
            <w:r/>
            <w:r>
              <w:rPr>
                <w:sz w:val="20"/>
              </w:rPr>
              <w:t>recovery_i = advance × (gross_i / original_sum) until fully recovered.</w:t>
            </w:r>
          </w:p>
        </w:tc>
      </w:tr>
      <w:tr>
        <w:tc>
          <w:tcPr>
            <w:tcW w:type="dxa" w:w="2268"/>
            <w:vAlign w:val="center"/>
          </w:tcPr>
          <w:p>
            <w:r/>
            <w:r>
              <w:rPr>
                <w:sz w:val="20"/>
              </w:rPr>
              <w:t>Three-way match</w:t>
            </w:r>
          </w:p>
        </w:tc>
        <w:tc>
          <w:tcPr>
            <w:tcW w:type="dxa" w:w="2551"/>
            <w:vAlign w:val="center"/>
          </w:tcPr>
          <w:p>
            <w:r/>
            <w:r>
              <w:rPr>
                <w:sz w:val="20"/>
              </w:rPr>
              <w:t>IPCService.raise_voucher</w:t>
            </w:r>
          </w:p>
        </w:tc>
        <w:tc>
          <w:tcPr>
            <w:tcW w:type="dxa" w:w="3685"/>
            <w:vAlign w:val="center"/>
          </w:tcPr>
          <w:p>
            <w:r/>
            <w:r>
              <w:rPr>
                <w:sz w:val="20"/>
              </w:rPr>
              <w:t>abs(voucher_gross − ipc.net_payable) ≤ COHERENCE_TOLERANCE else ThreeWayMatchError.</w:t>
            </w:r>
          </w:p>
        </w:tc>
      </w:tr>
      <w:tr>
        <w:tc>
          <w:tcPr>
            <w:tcW w:type="dxa" w:w="2268"/>
            <w:vAlign w:val="center"/>
          </w:tcPr>
          <w:p>
            <w:r/>
            <w:r>
              <w:rPr>
                <w:sz w:val="20"/>
              </w:rPr>
              <w:t>Variation tiered approval</w:t>
            </w:r>
          </w:p>
        </w:tc>
        <w:tc>
          <w:tcPr>
            <w:tcW w:type="dxa" w:w="2551"/>
            <w:vAlign w:val="center"/>
          </w:tcPr>
          <w:p>
            <w:r/>
            <w:r>
              <w:rPr>
                <w:sz w:val="20"/>
              </w:rPr>
              <w:t>ContractVariation.save (auto tier)</w:t>
            </w:r>
          </w:p>
        </w:tc>
        <w:tc>
          <w:tcPr>
            <w:tcW w:type="dxa" w:w="3685"/>
            <w:vAlign w:val="center"/>
          </w:tcPr>
          <w:p>
            <w:r/>
            <w:r>
              <w:rPr>
                <w:sz w:val="20"/>
              </w:rPr>
              <w:t>LOCAL ≤15%, BOARD (15–25%], BPP_REQUIRED &gt;25% of original_sum.</w:t>
            </w:r>
          </w:p>
        </w:tc>
      </w:tr>
      <w:tr>
        <w:tc>
          <w:tcPr>
            <w:tcW w:type="dxa" w:w="2268"/>
            <w:vAlign w:val="center"/>
          </w:tcPr>
          <w:p>
            <w:r/>
            <w:r>
              <w:rPr>
                <w:sz w:val="20"/>
              </w:rPr>
              <w:t>Tax on payment</w:t>
            </w:r>
          </w:p>
        </w:tc>
        <w:tc>
          <w:tcPr>
            <w:tcW w:type="dxa" w:w="2551"/>
            <w:vAlign w:val="center"/>
          </w:tcPr>
          <w:p>
            <w:r/>
            <w:r>
              <w:rPr>
                <w:sz w:val="20"/>
              </w:rPr>
              <w:t>IPCService.mark_paid</w:t>
            </w:r>
          </w:p>
        </w:tc>
        <w:tc>
          <w:tcPr>
            <w:tcW w:type="dxa" w:w="3685"/>
            <w:vAlign w:val="center"/>
          </w:tcPr>
          <w:p>
            <w:r/>
            <w:r>
              <w:rPr>
                <w:sz w:val="20"/>
              </w:rPr>
              <w:t>VAT (7.5%) and WHT (typically 5% works) recorded at payment date (FIRS cash-basis).</w:t>
            </w:r>
          </w:p>
        </w:tc>
      </w:tr>
      <w:tr>
        <w:tc>
          <w:tcPr>
            <w:tcW w:type="dxa" w:w="2268"/>
            <w:vAlign w:val="center"/>
          </w:tcPr>
          <w:p>
            <w:r/>
            <w:r>
              <w:rPr>
                <w:sz w:val="20"/>
              </w:rPr>
              <w:t>SoD on IPC</w:t>
            </w:r>
          </w:p>
        </w:tc>
        <w:tc>
          <w:tcPr>
            <w:tcW w:type="dxa" w:w="2551"/>
            <w:vAlign w:val="center"/>
          </w:tcPr>
          <w:p>
            <w:r/>
            <w:r>
              <w:rPr>
                <w:sz w:val="20"/>
              </w:rPr>
              <w:t>contracts.services.sod</w:t>
            </w:r>
          </w:p>
        </w:tc>
        <w:tc>
          <w:tcPr>
            <w:tcW w:type="dxa" w:w="3685"/>
            <w:vAlign w:val="center"/>
          </w:tcPr>
          <w:p>
            <w:r/>
            <w:r>
              <w:rPr>
                <w:sz w:val="20"/>
              </w:rPr>
              <w:t>Submitter ≠ Certifier ≠ Approver unless bypass permission granted.</w:t>
            </w:r>
          </w:p>
        </w:tc>
      </w:tr>
      <w:tr>
        <w:tc>
          <w:tcPr>
            <w:tcW w:type="dxa" w:w="2268"/>
            <w:vAlign w:val="center"/>
          </w:tcPr>
          <w:p>
            <w:r/>
            <w:r>
              <w:rPr>
                <w:sz w:val="20"/>
              </w:rPr>
              <w:t>Integrity hash</w:t>
            </w:r>
          </w:p>
        </w:tc>
        <w:tc>
          <w:tcPr>
            <w:tcW w:type="dxa" w:w="2551"/>
            <w:vAlign w:val="center"/>
          </w:tcPr>
          <w:p>
            <w:r/>
            <w:r>
              <w:rPr>
                <w:sz w:val="20"/>
              </w:rPr>
              <w:t>InterimPaymentCertificate._compute_hash</w:t>
            </w:r>
          </w:p>
        </w:tc>
        <w:tc>
          <w:tcPr>
            <w:tcW w:type="dxa" w:w="3685"/>
            <w:vAlign w:val="center"/>
          </w:tcPr>
          <w:p>
            <w:r/>
            <w:r>
              <w:rPr>
                <w:sz w:val="20"/>
              </w:rPr>
              <w:t>SHA-256 of line-items frozen at submit; tamper detection on re-read.</w:t>
            </w:r>
          </w:p>
        </w:tc>
      </w:tr>
    </w:tbl>
    <w:p>
      <w:r>
        <w:br w:type="page"/>
      </w:r>
    </w:p>
    <w:p>
      <w:pPr>
        <w:pStyle w:val="Heading1"/>
      </w:pPr>
      <w:r>
        <w:rPr>
          <w:color w:val="0B2E4F"/>
        </w:rPr>
        <w:t>7. Worked Example — ₦10 M Road Contract</w:t>
      </w:r>
    </w:p>
    <w:p>
      <w:r>
        <w:rPr>
          <w:b w:val="0"/>
          <w:i/>
          <w:color w:val="6B7280"/>
          <w:sz w:val="22"/>
        </w:rPr>
        <w:t>Following is the actual sequence exercised by the end-to-end harness (scripts/e2e_contracts_workflow.py) on contract E2E-001.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3118"/>
            <w:shd w:val="clear" w:color="auto" w:fill="0B2E4F"/>
            <w:vAlign w:val="center"/>
          </w:tcPr>
          <w:p>
            <w:r/>
            <w:r>
              <w:rPr>
                <w:b/>
                <w:color w:val="FFFFFF"/>
                <w:sz w:val="20"/>
              </w:rPr>
              <w:t>Step</w:t>
            </w:r>
          </w:p>
        </w:tc>
        <w:tc>
          <w:tcPr>
            <w:tcW w:type="dxa" w:w="1417"/>
            <w:shd w:val="clear" w:color="auto" w:fill="0B2E4F"/>
            <w:vAlign w:val="center"/>
          </w:tcPr>
          <w:p>
            <w:r/>
            <w:r>
              <w:rPr>
                <w:b/>
                <w:color w:val="FFFFFF"/>
                <w:sz w:val="20"/>
              </w:rPr>
              <w:t>Amount</w:t>
            </w:r>
          </w:p>
        </w:tc>
        <w:tc>
          <w:tcPr>
            <w:tcW w:type="dxa" w:w="1531"/>
            <w:shd w:val="clear" w:color="auto" w:fill="0B2E4F"/>
            <w:vAlign w:val="center"/>
          </w:tcPr>
          <w:p>
            <w:r/>
            <w:r>
              <w:rPr>
                <w:b/>
                <w:color w:val="FFFFFF"/>
                <w:sz w:val="20"/>
              </w:rPr>
              <w:t>Running Certified</w:t>
            </w:r>
          </w:p>
        </w:tc>
        <w:tc>
          <w:tcPr>
            <w:tcW w:type="dxa" w:w="1304"/>
            <w:shd w:val="clear" w:color="auto" w:fill="0B2E4F"/>
            <w:vAlign w:val="center"/>
          </w:tcPr>
          <w:p>
            <w:r/>
            <w:r>
              <w:rPr>
                <w:b/>
                <w:color w:val="FFFFFF"/>
                <w:sz w:val="20"/>
              </w:rPr>
              <w:t>Running Paid</w:t>
            </w:r>
          </w:p>
        </w:tc>
        <w:tc>
          <w:tcPr>
            <w:tcW w:type="dxa" w:w="1304"/>
            <w:shd w:val="clear" w:color="auto" w:fill="0B2E4F"/>
            <w:vAlign w:val="center"/>
          </w:tcPr>
          <w:p>
            <w:r/>
            <w:r>
              <w:rPr>
                <w:b/>
                <w:color w:val="FFFFFF"/>
                <w:sz w:val="20"/>
              </w:rPr>
              <w:t>Retention Held</w:t>
            </w:r>
          </w:p>
        </w:tc>
      </w:tr>
      <w:tr>
        <w:tc>
          <w:tcPr>
            <w:tcW w:type="dxa" w:w="3118"/>
            <w:vAlign w:val="center"/>
          </w:tcPr>
          <w:p>
            <w:r/>
            <w:r>
              <w:rPr>
                <w:sz w:val="20"/>
              </w:rPr>
              <w:t>Contract awarded (original_sum)</w:t>
            </w:r>
          </w:p>
        </w:tc>
        <w:tc>
          <w:tcPr>
            <w:tcW w:type="dxa" w:w="1417"/>
            <w:vAlign w:val="center"/>
          </w:tcPr>
          <w:p>
            <w:r/>
            <w:r>
              <w:rPr>
                <w:sz w:val="20"/>
              </w:rPr>
              <w:t>₦10,000,000</w:t>
            </w:r>
          </w:p>
        </w:tc>
        <w:tc>
          <w:tcPr>
            <w:tcW w:type="dxa" w:w="1531"/>
            <w:vAlign w:val="center"/>
          </w:tcPr>
          <w:p>
            <w:r/>
            <w:r>
              <w:rPr>
                <w:sz w:val="20"/>
              </w:rPr>
              <w:t>—</w:t>
            </w:r>
          </w:p>
        </w:tc>
        <w:tc>
          <w:tcPr>
            <w:tcW w:type="dxa" w:w="1304"/>
            <w:vAlign w:val="center"/>
          </w:tcPr>
          <w:p>
            <w:r/>
            <w:r>
              <w:rPr>
                <w:sz w:val="20"/>
              </w:rPr>
              <w:t>—</w:t>
            </w:r>
          </w:p>
        </w:tc>
        <w:tc>
          <w:tcPr>
            <w:tcW w:type="dxa" w:w="1304"/>
            <w:vAlign w:val="center"/>
          </w:tcPr>
          <w:p>
            <w:r/>
            <w:r>
              <w:rPr>
                <w:sz w:val="20"/>
              </w:rPr>
              <w:t>—</w:t>
            </w:r>
          </w:p>
        </w:tc>
      </w:tr>
      <w:tr>
        <w:tc>
          <w:tcPr>
            <w:tcW w:type="dxa" w:w="3118"/>
            <w:vAlign w:val="center"/>
          </w:tcPr>
          <w:p>
            <w:r/>
            <w:r>
              <w:rPr>
                <w:sz w:val="20"/>
              </w:rPr>
              <w:t>Contract activated</w:t>
            </w:r>
          </w:p>
        </w:tc>
        <w:tc>
          <w:tcPr>
            <w:tcW w:type="dxa" w:w="1417"/>
            <w:vAlign w:val="center"/>
          </w:tcPr>
          <w:p>
            <w:r/>
            <w:r>
              <w:rPr>
                <w:sz w:val="20"/>
              </w:rPr>
              <w:t>—</w:t>
            </w:r>
          </w:p>
        </w:tc>
        <w:tc>
          <w:tcPr>
            <w:tcW w:type="dxa" w:w="1531"/>
            <w:vAlign w:val="center"/>
          </w:tcPr>
          <w:p>
            <w:r/>
            <w:r>
              <w:rPr>
                <w:sz w:val="20"/>
              </w:rPr>
              <w:t>₦0</w:t>
            </w:r>
          </w:p>
        </w:tc>
        <w:tc>
          <w:tcPr>
            <w:tcW w:type="dxa" w:w="1304"/>
            <w:vAlign w:val="center"/>
          </w:tcPr>
          <w:p>
            <w:r/>
            <w:r>
              <w:rPr>
                <w:sz w:val="20"/>
              </w:rPr>
              <w:t>₦0</w:t>
            </w:r>
          </w:p>
        </w:tc>
        <w:tc>
          <w:tcPr>
            <w:tcW w:type="dxa" w:w="1304"/>
            <w:vAlign w:val="center"/>
          </w:tcPr>
          <w:p>
            <w:r/>
            <w:r>
              <w:rPr>
                <w:sz w:val="20"/>
              </w:rPr>
              <w:t>₦0</w:t>
            </w:r>
          </w:p>
        </w:tc>
      </w:tr>
      <w:tr>
        <w:tc>
          <w:tcPr>
            <w:tcW w:type="dxa" w:w="3118"/>
            <w:vAlign w:val="center"/>
          </w:tcPr>
          <w:p>
            <w:r/>
            <w:r>
              <w:rPr>
                <w:sz w:val="20"/>
              </w:rPr>
              <w:t>IPC #1 gross</w:t>
            </w:r>
          </w:p>
        </w:tc>
        <w:tc>
          <w:tcPr>
            <w:tcW w:type="dxa" w:w="1417"/>
            <w:vAlign w:val="center"/>
          </w:tcPr>
          <w:p>
            <w:r/>
            <w:r>
              <w:rPr>
                <w:sz w:val="20"/>
              </w:rPr>
              <w:t>₦2,500,000</w:t>
            </w:r>
          </w:p>
        </w:tc>
        <w:tc>
          <w:tcPr>
            <w:tcW w:type="dxa" w:w="1531"/>
            <w:vAlign w:val="center"/>
          </w:tcPr>
          <w:p>
            <w:r/>
            <w:r>
              <w:rPr>
                <w:sz w:val="20"/>
              </w:rPr>
              <w:t>₦2,500,000</w:t>
            </w:r>
          </w:p>
        </w:tc>
        <w:tc>
          <w:tcPr>
            <w:tcW w:type="dxa" w:w="1304"/>
            <w:vAlign w:val="center"/>
          </w:tcPr>
          <w:p>
            <w:r/>
            <w:r>
              <w:rPr>
                <w:sz w:val="20"/>
              </w:rPr>
              <w:t>—</w:t>
            </w:r>
          </w:p>
        </w:tc>
        <w:tc>
          <w:tcPr>
            <w:tcW w:type="dxa" w:w="1304"/>
            <w:vAlign w:val="center"/>
          </w:tcPr>
          <w:p>
            <w:r/>
            <w:r>
              <w:rPr>
                <w:sz w:val="20"/>
              </w:rPr>
              <w:t>₦250,000</w:t>
            </w:r>
          </w:p>
        </w:tc>
      </w:tr>
      <w:tr>
        <w:tc>
          <w:tcPr>
            <w:tcW w:type="dxa" w:w="3118"/>
            <w:vAlign w:val="center"/>
          </w:tcPr>
          <w:p>
            <w:r/>
            <w:r>
              <w:rPr>
                <w:sz w:val="20"/>
              </w:rPr>
              <w:t>IPC #1 paid (net)</w:t>
            </w:r>
          </w:p>
        </w:tc>
        <w:tc>
          <w:tcPr>
            <w:tcW w:type="dxa" w:w="1417"/>
            <w:vAlign w:val="center"/>
          </w:tcPr>
          <w:p>
            <w:r/>
            <w:r>
              <w:rPr>
                <w:sz w:val="20"/>
              </w:rPr>
              <w:t>₦2,125,000</w:t>
            </w:r>
          </w:p>
        </w:tc>
        <w:tc>
          <w:tcPr>
            <w:tcW w:type="dxa" w:w="1531"/>
            <w:vAlign w:val="center"/>
          </w:tcPr>
          <w:p>
            <w:r/>
            <w:r>
              <w:rPr>
                <w:sz w:val="20"/>
              </w:rPr>
              <w:t>₦2,500,000</w:t>
            </w:r>
          </w:p>
        </w:tc>
        <w:tc>
          <w:tcPr>
            <w:tcW w:type="dxa" w:w="1304"/>
            <w:vAlign w:val="center"/>
          </w:tcPr>
          <w:p>
            <w:r/>
            <w:r>
              <w:rPr>
                <w:sz w:val="20"/>
              </w:rPr>
              <w:t>₦2,125,000</w:t>
            </w:r>
          </w:p>
        </w:tc>
        <w:tc>
          <w:tcPr>
            <w:tcW w:type="dxa" w:w="1304"/>
            <w:vAlign w:val="center"/>
          </w:tcPr>
          <w:p>
            <w:r/>
            <w:r>
              <w:rPr>
                <w:sz w:val="20"/>
              </w:rPr>
              <w:t>₦250,000</w:t>
            </w:r>
          </w:p>
        </w:tc>
      </w:tr>
      <w:tr>
        <w:tc>
          <w:tcPr>
            <w:tcW w:type="dxa" w:w="3118"/>
            <w:vAlign w:val="center"/>
          </w:tcPr>
          <w:p>
            <w:r/>
            <w:r>
              <w:rPr>
                <w:sz w:val="20"/>
              </w:rPr>
              <w:t>IPC #2 gross</w:t>
            </w:r>
          </w:p>
        </w:tc>
        <w:tc>
          <w:tcPr>
            <w:tcW w:type="dxa" w:w="1417"/>
            <w:vAlign w:val="center"/>
          </w:tcPr>
          <w:p>
            <w:r/>
            <w:r>
              <w:rPr>
                <w:sz w:val="20"/>
              </w:rPr>
              <w:t>₦2,500,000</w:t>
            </w:r>
          </w:p>
        </w:tc>
        <w:tc>
          <w:tcPr>
            <w:tcW w:type="dxa" w:w="1531"/>
            <w:vAlign w:val="center"/>
          </w:tcPr>
          <w:p>
            <w:r/>
            <w:r>
              <w:rPr>
                <w:sz w:val="20"/>
              </w:rPr>
              <w:t>₦5,000,000</w:t>
            </w:r>
          </w:p>
        </w:tc>
        <w:tc>
          <w:tcPr>
            <w:tcW w:type="dxa" w:w="1304"/>
            <w:vAlign w:val="center"/>
          </w:tcPr>
          <w:p>
            <w:r/>
            <w:r>
              <w:rPr>
                <w:sz w:val="20"/>
              </w:rPr>
              <w:t>—</w:t>
            </w:r>
          </w:p>
        </w:tc>
        <w:tc>
          <w:tcPr>
            <w:tcW w:type="dxa" w:w="1304"/>
            <w:vAlign w:val="center"/>
          </w:tcPr>
          <w:p>
            <w:r/>
            <w:r>
              <w:rPr>
                <w:sz w:val="20"/>
              </w:rPr>
              <w:t>₦500,000</w:t>
            </w:r>
          </w:p>
        </w:tc>
      </w:tr>
      <w:tr>
        <w:tc>
          <w:tcPr>
            <w:tcW w:type="dxa" w:w="3118"/>
            <w:vAlign w:val="center"/>
          </w:tcPr>
          <w:p>
            <w:r/>
            <w:r>
              <w:rPr>
                <w:sz w:val="20"/>
              </w:rPr>
              <w:t>IPC #2 paid (net)</w:t>
            </w:r>
          </w:p>
        </w:tc>
        <w:tc>
          <w:tcPr>
            <w:tcW w:type="dxa" w:w="1417"/>
            <w:vAlign w:val="center"/>
          </w:tcPr>
          <w:p>
            <w:r/>
            <w:r>
              <w:rPr>
                <w:sz w:val="20"/>
              </w:rPr>
              <w:t>₦2,125,000</w:t>
            </w:r>
          </w:p>
        </w:tc>
        <w:tc>
          <w:tcPr>
            <w:tcW w:type="dxa" w:w="1531"/>
            <w:vAlign w:val="center"/>
          </w:tcPr>
          <w:p>
            <w:r/>
            <w:r>
              <w:rPr>
                <w:sz w:val="20"/>
              </w:rPr>
              <w:t>₦5,000,000</w:t>
            </w:r>
          </w:p>
        </w:tc>
        <w:tc>
          <w:tcPr>
            <w:tcW w:type="dxa" w:w="1304"/>
            <w:vAlign w:val="center"/>
          </w:tcPr>
          <w:p>
            <w:r/>
            <w:r>
              <w:rPr>
                <w:sz w:val="20"/>
              </w:rPr>
              <w:t>₦4,250,000</w:t>
            </w:r>
          </w:p>
        </w:tc>
        <w:tc>
          <w:tcPr>
            <w:tcW w:type="dxa" w:w="1304"/>
            <w:vAlign w:val="center"/>
          </w:tcPr>
          <w:p>
            <w:r/>
            <w:r>
              <w:rPr>
                <w:sz w:val="20"/>
              </w:rPr>
              <w:t>₦500,000</w:t>
            </w:r>
          </w:p>
        </w:tc>
      </w:tr>
      <w:tr>
        <w:tc>
          <w:tcPr>
            <w:tcW w:type="dxa" w:w="3118"/>
            <w:vAlign w:val="center"/>
          </w:tcPr>
          <w:p>
            <w:r/>
            <w:r>
              <w:rPr>
                <w:sz w:val="20"/>
              </w:rPr>
              <w:t>Variation #1 approved (ADDITION)</w:t>
            </w:r>
          </w:p>
        </w:tc>
        <w:tc>
          <w:tcPr>
            <w:tcW w:type="dxa" w:w="1417"/>
            <w:vAlign w:val="center"/>
          </w:tcPr>
          <w:p>
            <w:r/>
            <w:r>
              <w:rPr>
                <w:sz w:val="20"/>
              </w:rPr>
              <w:t>+₦1,000,000</w:t>
            </w:r>
          </w:p>
        </w:tc>
        <w:tc>
          <w:tcPr>
            <w:tcW w:type="dxa" w:w="1531"/>
            <w:vAlign w:val="center"/>
          </w:tcPr>
          <w:p>
            <w:r/>
            <w:r>
              <w:rPr>
                <w:sz w:val="20"/>
              </w:rPr>
              <w:t>—</w:t>
            </w:r>
          </w:p>
        </w:tc>
        <w:tc>
          <w:tcPr>
            <w:tcW w:type="dxa" w:w="1304"/>
            <w:vAlign w:val="center"/>
          </w:tcPr>
          <w:p>
            <w:r/>
            <w:r>
              <w:rPr>
                <w:sz w:val="20"/>
              </w:rPr>
              <w:t>—</w:t>
            </w:r>
          </w:p>
        </w:tc>
        <w:tc>
          <w:tcPr>
            <w:tcW w:type="dxa" w:w="1304"/>
            <w:vAlign w:val="center"/>
          </w:tcPr>
          <w:p>
            <w:r/>
            <w:r>
              <w:rPr>
                <w:sz w:val="20"/>
              </w:rPr>
              <w:t>ceiling ↑ ₦11,000,000</w:t>
            </w:r>
          </w:p>
        </w:tc>
      </w:tr>
      <w:tr>
        <w:tc>
          <w:tcPr>
            <w:tcW w:type="dxa" w:w="3118"/>
            <w:vAlign w:val="center"/>
          </w:tcPr>
          <w:p>
            <w:r/>
            <w:r>
              <w:rPr>
                <w:sz w:val="20"/>
              </w:rPr>
              <w:t>Practical Completion</w:t>
            </w:r>
          </w:p>
        </w:tc>
        <w:tc>
          <w:tcPr>
            <w:tcW w:type="dxa" w:w="1417"/>
            <w:vAlign w:val="center"/>
          </w:tcPr>
          <w:p>
            <w:r/>
            <w:r>
              <w:rPr>
                <w:sz w:val="20"/>
              </w:rPr>
              <w:t>—</w:t>
            </w:r>
          </w:p>
        </w:tc>
        <w:tc>
          <w:tcPr>
            <w:tcW w:type="dxa" w:w="1531"/>
            <w:vAlign w:val="center"/>
          </w:tcPr>
          <w:p>
            <w:r/>
            <w:r>
              <w:rPr>
                <w:sz w:val="20"/>
              </w:rPr>
              <w:t>₦5,000,000</w:t>
            </w:r>
          </w:p>
        </w:tc>
        <w:tc>
          <w:tcPr>
            <w:tcW w:type="dxa" w:w="1304"/>
            <w:vAlign w:val="center"/>
          </w:tcPr>
          <w:p>
            <w:r/>
            <w:r>
              <w:rPr>
                <w:sz w:val="20"/>
              </w:rPr>
              <w:t>₦4,250,000</w:t>
            </w:r>
          </w:p>
        </w:tc>
        <w:tc>
          <w:tcPr>
            <w:tcW w:type="dxa" w:w="1304"/>
            <w:vAlign w:val="center"/>
          </w:tcPr>
          <w:p>
            <w:r/>
            <w:r>
              <w:rPr>
                <w:sz w:val="20"/>
              </w:rPr>
              <w:t>₦500,000</w:t>
            </w:r>
          </w:p>
        </w:tc>
      </w:tr>
      <w:tr>
        <w:tc>
          <w:tcPr>
            <w:tcW w:type="dxa" w:w="3118"/>
            <w:vAlign w:val="center"/>
          </w:tcPr>
          <w:p>
            <w:r/>
            <w:r>
              <w:rPr>
                <w:sz w:val="20"/>
              </w:rPr>
              <w:t>Practical retention release</w:t>
            </w:r>
          </w:p>
        </w:tc>
        <w:tc>
          <w:tcPr>
            <w:tcW w:type="dxa" w:w="1417"/>
            <w:vAlign w:val="center"/>
          </w:tcPr>
          <w:p>
            <w:r/>
            <w:r>
              <w:rPr>
                <w:sz w:val="20"/>
              </w:rPr>
              <w:t>₦250,000</w:t>
            </w:r>
          </w:p>
        </w:tc>
        <w:tc>
          <w:tcPr>
            <w:tcW w:type="dxa" w:w="1531"/>
            <w:vAlign w:val="center"/>
          </w:tcPr>
          <w:p>
            <w:r/>
            <w:r>
              <w:rPr>
                <w:sz w:val="20"/>
              </w:rPr>
              <w:t>₦5,000,000</w:t>
            </w:r>
          </w:p>
        </w:tc>
        <w:tc>
          <w:tcPr>
            <w:tcW w:type="dxa" w:w="1304"/>
            <w:vAlign w:val="center"/>
          </w:tcPr>
          <w:p>
            <w:r/>
            <w:r>
              <w:rPr>
                <w:sz w:val="20"/>
              </w:rPr>
              <w:t>₦4,500,000</w:t>
            </w:r>
          </w:p>
        </w:tc>
        <w:tc>
          <w:tcPr>
            <w:tcW w:type="dxa" w:w="1304"/>
            <w:vAlign w:val="center"/>
          </w:tcPr>
          <w:p>
            <w:r/>
            <w:r>
              <w:rPr>
                <w:sz w:val="20"/>
              </w:rPr>
              <w:t>₦250,000</w:t>
            </w:r>
          </w:p>
        </w:tc>
      </w:tr>
      <w:tr>
        <w:tc>
          <w:tcPr>
            <w:tcW w:type="dxa" w:w="3118"/>
            <w:vAlign w:val="center"/>
          </w:tcPr>
          <w:p>
            <w:r/>
            <w:r>
              <w:rPr>
                <w:sz w:val="20"/>
              </w:rPr>
              <w:t>Final Completion</w:t>
            </w:r>
          </w:p>
        </w:tc>
        <w:tc>
          <w:tcPr>
            <w:tcW w:type="dxa" w:w="1417"/>
            <w:vAlign w:val="center"/>
          </w:tcPr>
          <w:p>
            <w:r/>
            <w:r>
              <w:rPr>
                <w:sz w:val="20"/>
              </w:rPr>
              <w:t>—</w:t>
            </w:r>
          </w:p>
        </w:tc>
        <w:tc>
          <w:tcPr>
            <w:tcW w:type="dxa" w:w="1531"/>
            <w:vAlign w:val="center"/>
          </w:tcPr>
          <w:p>
            <w:r/>
            <w:r>
              <w:rPr>
                <w:sz w:val="20"/>
              </w:rPr>
              <w:t>—</w:t>
            </w:r>
          </w:p>
        </w:tc>
        <w:tc>
          <w:tcPr>
            <w:tcW w:type="dxa" w:w="1304"/>
            <w:vAlign w:val="center"/>
          </w:tcPr>
          <w:p>
            <w:r/>
            <w:r>
              <w:rPr>
                <w:sz w:val="20"/>
              </w:rPr>
              <w:t>—</w:t>
            </w:r>
          </w:p>
        </w:tc>
        <w:tc>
          <w:tcPr>
            <w:tcW w:type="dxa" w:w="1304"/>
            <w:vAlign w:val="center"/>
          </w:tcPr>
          <w:p>
            <w:r/>
            <w:r>
              <w:rPr>
                <w:sz w:val="20"/>
              </w:rPr>
              <w:t>—</w:t>
            </w:r>
          </w:p>
        </w:tc>
      </w:tr>
      <w:tr>
        <w:tc>
          <w:tcPr>
            <w:tcW w:type="dxa" w:w="3118"/>
            <w:vAlign w:val="center"/>
          </w:tcPr>
          <w:p>
            <w:r/>
            <w:r>
              <w:rPr>
                <w:sz w:val="20"/>
              </w:rPr>
              <w:t>Final retention release</w:t>
            </w:r>
          </w:p>
        </w:tc>
        <w:tc>
          <w:tcPr>
            <w:tcW w:type="dxa" w:w="1417"/>
            <w:vAlign w:val="center"/>
          </w:tcPr>
          <w:p>
            <w:r/>
            <w:r>
              <w:rPr>
                <w:sz w:val="20"/>
              </w:rPr>
              <w:t>₦250,000</w:t>
            </w:r>
          </w:p>
        </w:tc>
        <w:tc>
          <w:tcPr>
            <w:tcW w:type="dxa" w:w="1531"/>
            <w:vAlign w:val="center"/>
          </w:tcPr>
          <w:p>
            <w:r/>
            <w:r>
              <w:rPr>
                <w:sz w:val="20"/>
              </w:rPr>
              <w:t>₦5,000,000</w:t>
            </w:r>
          </w:p>
        </w:tc>
        <w:tc>
          <w:tcPr>
            <w:tcW w:type="dxa" w:w="1304"/>
            <w:vAlign w:val="center"/>
          </w:tcPr>
          <w:p>
            <w:r/>
            <w:r>
              <w:rPr>
                <w:sz w:val="20"/>
              </w:rPr>
              <w:t>₦4,750,000</w:t>
            </w:r>
          </w:p>
        </w:tc>
        <w:tc>
          <w:tcPr>
            <w:tcW w:type="dxa" w:w="1304"/>
            <w:vAlign w:val="center"/>
          </w:tcPr>
          <w:p>
            <w:r/>
            <w:r>
              <w:rPr>
                <w:sz w:val="20"/>
              </w:rPr>
              <w:t>₦0</w:t>
            </w:r>
          </w:p>
        </w:tc>
      </w:tr>
      <w:tr>
        <w:tc>
          <w:tcPr>
            <w:tcW w:type="dxa" w:w="3118"/>
            <w:vAlign w:val="center"/>
          </w:tcPr>
          <w:p>
            <w:r/>
            <w:r>
              <w:rPr>
                <w:sz w:val="20"/>
              </w:rPr>
              <w:t>Contract CLOSED</w:t>
            </w:r>
          </w:p>
        </w:tc>
        <w:tc>
          <w:tcPr>
            <w:tcW w:type="dxa" w:w="1417"/>
            <w:vAlign w:val="center"/>
          </w:tcPr>
          <w:p>
            <w:r/>
            <w:r>
              <w:rPr>
                <w:sz w:val="20"/>
              </w:rPr>
              <w:t>—</w:t>
            </w:r>
          </w:p>
        </w:tc>
        <w:tc>
          <w:tcPr>
            <w:tcW w:type="dxa" w:w="1531"/>
            <w:vAlign w:val="center"/>
          </w:tcPr>
          <w:p>
            <w:r/>
            <w:r>
              <w:rPr>
                <w:sz w:val="20"/>
              </w:rPr>
              <w:t>₦5,000,000</w:t>
            </w:r>
          </w:p>
        </w:tc>
        <w:tc>
          <w:tcPr>
            <w:tcW w:type="dxa" w:w="1304"/>
            <w:vAlign w:val="center"/>
          </w:tcPr>
          <w:p>
            <w:r/>
            <w:r>
              <w:rPr>
                <w:sz w:val="20"/>
              </w:rPr>
              <w:t>₦4,750,000</w:t>
            </w:r>
          </w:p>
        </w:tc>
        <w:tc>
          <w:tcPr>
            <w:tcW w:type="dxa" w:w="1304"/>
            <w:vAlign w:val="center"/>
          </w:tcPr>
          <w:p>
            <w:r/>
            <w:r>
              <w:rPr>
                <w:sz w:val="20"/>
              </w:rPr>
              <w:t>₦0</w:t>
            </w:r>
          </w:p>
        </w:tc>
      </w:tr>
    </w:tbl>
    <w:tbl>
      <w:tblPr>
        <w:tblW w:type="auto" w:w="0"/>
        <w:tblLayout w:type="autofit"/>
        <w:tblLook w:firstColumn="1" w:firstRow="1" w:lastColumn="0" w:lastRow="0" w:noHBand="0" w:noVBand="1" w:val="04A0"/>
      </w:tblPr>
      <w:tblGrid>
        <w:gridCol w:w="8640"/>
      </w:tblGrid>
      <w:tr>
        <w:tc>
          <w:tcPr>
            <w:tcW w:type="dxa" w:w="8640"/>
            <w:shd w:val="clear" w:color="auto" w:fill="E8F1FA"/>
          </w:tcPr>
          <w:p>
            <w:r/>
            <w:r>
              <w:rPr>
                <w:b/>
                <w:color w:val="0B2E4F"/>
                <w:sz w:val="22"/>
              </w:rPr>
              <w:t>Net payable math (IPC #1)</w:t>
            </w:r>
          </w:p>
          <w:p>
            <w:r>
              <w:rPr>
                <w:sz w:val="20"/>
              </w:rPr>
              <w:t>gross = 2,500,000 · retention (10%) = 250,000 · mob recovery (if any) = 0</w:t>
              <w:br/>
              <w:t>this_certificate_net = 2,500,000 − 250,000 − 0 = 2,250,000</w:t>
              <w:br/>
              <w:t>WHT at payment (5%) = 125,000 → bank pays contractor 2,125,000; FIRS receives 125,000.</w:t>
            </w:r>
          </w:p>
        </w:tc>
      </w:tr>
    </w:tbl>
    <w:p>
      <w:pPr>
        <w:pStyle w:val="Heading1"/>
      </w:pPr>
      <w:r>
        <w:rPr>
          <w:color w:val="0B2E4F"/>
        </w:rPr>
        <w:t>8. Roles &amp; Responsibilities (RACI)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984"/>
            <w:shd w:val="clear" w:color="auto" w:fill="0B2E4F"/>
            <w:vAlign w:val="center"/>
          </w:tcPr>
          <w:p>
            <w:r/>
            <w:r>
              <w:rPr>
                <w:b/>
                <w:color w:val="FFFFFF"/>
                <w:sz w:val="20"/>
              </w:rPr>
              <w:t>Activity</w:t>
            </w:r>
          </w:p>
        </w:tc>
        <w:tc>
          <w:tcPr>
            <w:tcW w:type="dxa" w:w="1701"/>
            <w:shd w:val="clear" w:color="auto" w:fill="0B2E4F"/>
            <w:vAlign w:val="center"/>
          </w:tcPr>
          <w:p>
            <w:r/>
            <w:r>
              <w:rPr>
                <w:b/>
                <w:color w:val="FFFFFF"/>
                <w:sz w:val="20"/>
              </w:rPr>
              <w:t>Responsible</w:t>
            </w:r>
          </w:p>
        </w:tc>
        <w:tc>
          <w:tcPr>
            <w:tcW w:type="dxa" w:w="1701"/>
            <w:shd w:val="clear" w:color="auto" w:fill="0B2E4F"/>
            <w:vAlign w:val="center"/>
          </w:tcPr>
          <w:p>
            <w:r/>
            <w:r>
              <w:rPr>
                <w:b/>
                <w:color w:val="FFFFFF"/>
                <w:sz w:val="20"/>
              </w:rPr>
              <w:t>Accountable</w:t>
            </w:r>
          </w:p>
        </w:tc>
        <w:tc>
          <w:tcPr>
            <w:tcW w:type="dxa" w:w="1984"/>
            <w:shd w:val="clear" w:color="auto" w:fill="0B2E4F"/>
            <w:vAlign w:val="center"/>
          </w:tcPr>
          <w:p>
            <w:r/>
            <w:r>
              <w:rPr>
                <w:b/>
                <w:color w:val="FFFFFF"/>
                <w:sz w:val="20"/>
              </w:rPr>
              <w:t>Consulted</w:t>
            </w:r>
          </w:p>
        </w:tc>
        <w:tc>
          <w:tcPr>
            <w:tcW w:type="dxa" w:w="1701"/>
            <w:shd w:val="clear" w:color="auto" w:fill="0B2E4F"/>
            <w:vAlign w:val="center"/>
          </w:tcPr>
          <w:p>
            <w:r/>
            <w:r>
              <w:rPr>
                <w:b/>
                <w:color w:val="FFFFFF"/>
                <w:sz w:val="20"/>
              </w:rPr>
              <w:t>Informed</w:t>
            </w:r>
          </w:p>
        </w:tc>
      </w:tr>
      <w:tr>
        <w:tc>
          <w:tcPr>
            <w:tcW w:type="dxa" w:w="1984"/>
            <w:vAlign w:val="center"/>
          </w:tcPr>
          <w:p>
            <w:r/>
            <w:r>
              <w:rPr>
                <w:sz w:val="20"/>
              </w:rPr>
              <w:t>Contract creation</w:t>
            </w:r>
          </w:p>
        </w:tc>
        <w:tc>
          <w:tcPr>
            <w:tcW w:type="dxa" w:w="1701"/>
            <w:vAlign w:val="center"/>
          </w:tcPr>
          <w:p>
            <w:r/>
            <w:r>
              <w:rPr>
                <w:sz w:val="20"/>
              </w:rPr>
              <w:t>Procurement Officer</w:t>
            </w:r>
          </w:p>
        </w:tc>
        <w:tc>
          <w:tcPr>
            <w:tcW w:type="dxa" w:w="1701"/>
            <w:vAlign w:val="center"/>
          </w:tcPr>
          <w:p>
            <w:r/>
            <w:r>
              <w:rPr>
                <w:sz w:val="20"/>
              </w:rPr>
              <w:t>MDA Head</w:t>
            </w:r>
          </w:p>
        </w:tc>
        <w:tc>
          <w:tcPr>
            <w:tcW w:type="dxa" w:w="1984"/>
            <w:vAlign w:val="center"/>
          </w:tcPr>
          <w:p>
            <w:r/>
            <w:r>
              <w:rPr>
                <w:sz w:val="20"/>
              </w:rPr>
              <w:t>Legal; Finance</w:t>
            </w:r>
          </w:p>
        </w:tc>
        <w:tc>
          <w:tcPr>
            <w:tcW w:type="dxa" w:w="1701"/>
            <w:vAlign w:val="center"/>
          </w:tcPr>
          <w:p>
            <w:r/>
            <w:r>
              <w:rPr>
                <w:sz w:val="20"/>
              </w:rPr>
              <w:t>Vendor</w:t>
            </w:r>
          </w:p>
        </w:tc>
      </w:tr>
      <w:tr>
        <w:tc>
          <w:tcPr>
            <w:tcW w:type="dxa" w:w="1984"/>
            <w:vAlign w:val="center"/>
          </w:tcPr>
          <w:p>
            <w:r/>
            <w:r>
              <w:rPr>
                <w:sz w:val="20"/>
              </w:rPr>
              <w:t>Activation</w:t>
            </w:r>
          </w:p>
        </w:tc>
        <w:tc>
          <w:tcPr>
            <w:tcW w:type="dxa" w:w="1701"/>
            <w:vAlign w:val="center"/>
          </w:tcPr>
          <w:p>
            <w:r/>
            <w:r>
              <w:rPr>
                <w:sz w:val="20"/>
              </w:rPr>
              <w:t>Procurement Officer</w:t>
            </w:r>
          </w:p>
        </w:tc>
        <w:tc>
          <w:tcPr>
            <w:tcW w:type="dxa" w:w="1701"/>
            <w:vAlign w:val="center"/>
          </w:tcPr>
          <w:p>
            <w:r/>
            <w:r>
              <w:rPr>
                <w:sz w:val="20"/>
              </w:rPr>
              <w:t>MDA Head</w:t>
            </w:r>
          </w:p>
        </w:tc>
        <w:tc>
          <w:tcPr>
            <w:tcW w:type="dxa" w:w="1984"/>
            <w:vAlign w:val="center"/>
          </w:tcPr>
          <w:p>
            <w:r/>
            <w:r>
              <w:rPr>
                <w:sz w:val="20"/>
              </w:rPr>
              <w:t>Finance</w:t>
            </w:r>
          </w:p>
        </w:tc>
        <w:tc>
          <w:tcPr>
            <w:tcW w:type="dxa" w:w="1701"/>
            <w:vAlign w:val="center"/>
          </w:tcPr>
          <w:p>
            <w:r/>
            <w:r>
              <w:rPr>
                <w:sz w:val="20"/>
              </w:rPr>
              <w:t>Vendor; AG</w:t>
            </w:r>
          </w:p>
        </w:tc>
      </w:tr>
      <w:tr>
        <w:tc>
          <w:tcPr>
            <w:tcW w:type="dxa" w:w="1984"/>
            <w:vAlign w:val="center"/>
          </w:tcPr>
          <w:p>
            <w:r/>
            <w:r>
              <w:rPr>
                <w:sz w:val="20"/>
              </w:rPr>
              <w:t>Mobilization payment</w:t>
            </w:r>
          </w:p>
        </w:tc>
        <w:tc>
          <w:tcPr>
            <w:tcW w:type="dxa" w:w="1701"/>
            <w:vAlign w:val="center"/>
          </w:tcPr>
          <w:p>
            <w:r/>
            <w:r>
              <w:rPr>
                <w:sz w:val="20"/>
              </w:rPr>
              <w:t>AP Officer</w:t>
            </w:r>
          </w:p>
        </w:tc>
        <w:tc>
          <w:tcPr>
            <w:tcW w:type="dxa" w:w="1701"/>
            <w:vAlign w:val="center"/>
          </w:tcPr>
          <w:p>
            <w:r/>
            <w:r>
              <w:rPr>
                <w:sz w:val="20"/>
              </w:rPr>
              <w:t>Accountant-General</w:t>
            </w:r>
          </w:p>
        </w:tc>
        <w:tc>
          <w:tcPr>
            <w:tcW w:type="dxa" w:w="1984"/>
            <w:vAlign w:val="center"/>
          </w:tcPr>
          <w:p>
            <w:r/>
            <w:r>
              <w:rPr>
                <w:sz w:val="20"/>
              </w:rPr>
              <w:t>Treasury</w:t>
            </w:r>
          </w:p>
        </w:tc>
        <w:tc>
          <w:tcPr>
            <w:tcW w:type="dxa" w:w="1701"/>
            <w:vAlign w:val="center"/>
          </w:tcPr>
          <w:p>
            <w:r/>
            <w:r>
              <w:rPr>
                <w:sz w:val="20"/>
              </w:rPr>
              <w:t>Vendor</w:t>
            </w:r>
          </w:p>
        </w:tc>
      </w:tr>
      <w:tr>
        <w:tc>
          <w:tcPr>
            <w:tcW w:type="dxa" w:w="1984"/>
            <w:vAlign w:val="center"/>
          </w:tcPr>
          <w:p>
            <w:r/>
            <w:r>
              <w:rPr>
                <w:sz w:val="20"/>
              </w:rPr>
              <w:t>IPC preparation</w:t>
            </w:r>
          </w:p>
        </w:tc>
        <w:tc>
          <w:tcPr>
            <w:tcW w:type="dxa" w:w="1701"/>
            <w:vAlign w:val="center"/>
          </w:tcPr>
          <w:p>
            <w:r/>
            <w:r>
              <w:rPr>
                <w:sz w:val="20"/>
              </w:rPr>
              <w:t>Site Engineer</w:t>
            </w:r>
          </w:p>
        </w:tc>
        <w:tc>
          <w:tcPr>
            <w:tcW w:type="dxa" w:w="1701"/>
            <w:vAlign w:val="center"/>
          </w:tcPr>
          <w:p>
            <w:r/>
            <w:r>
              <w:rPr>
                <w:sz w:val="20"/>
              </w:rPr>
              <w:t>Project Engineer</w:t>
            </w:r>
          </w:p>
        </w:tc>
        <w:tc>
          <w:tcPr>
            <w:tcW w:type="dxa" w:w="1984"/>
            <w:vAlign w:val="center"/>
          </w:tcPr>
          <w:p>
            <w:r/>
            <w:r>
              <w:rPr>
                <w:sz w:val="20"/>
              </w:rPr>
              <w:t>Contractor</w:t>
            </w:r>
          </w:p>
        </w:tc>
        <w:tc>
          <w:tcPr>
            <w:tcW w:type="dxa" w:w="1701"/>
            <w:vAlign w:val="center"/>
          </w:tcPr>
          <w:p>
            <w:r/>
            <w:r>
              <w:rPr>
                <w:sz w:val="20"/>
              </w:rPr>
              <w:t>—</w:t>
            </w:r>
          </w:p>
        </w:tc>
      </w:tr>
      <w:tr>
        <w:tc>
          <w:tcPr>
            <w:tcW w:type="dxa" w:w="1984"/>
            <w:vAlign w:val="center"/>
          </w:tcPr>
          <w:p>
            <w:r/>
            <w:r>
              <w:rPr>
                <w:sz w:val="20"/>
              </w:rPr>
              <w:t>IPC certification</w:t>
            </w:r>
          </w:p>
        </w:tc>
        <w:tc>
          <w:tcPr>
            <w:tcW w:type="dxa" w:w="1701"/>
            <w:vAlign w:val="center"/>
          </w:tcPr>
          <w:p>
            <w:r/>
            <w:r>
              <w:rPr>
                <w:sz w:val="20"/>
              </w:rPr>
              <w:t>Project Engineer</w:t>
            </w:r>
          </w:p>
        </w:tc>
        <w:tc>
          <w:tcPr>
            <w:tcW w:type="dxa" w:w="1701"/>
            <w:vAlign w:val="center"/>
          </w:tcPr>
          <w:p>
            <w:r/>
            <w:r>
              <w:rPr>
                <w:sz w:val="20"/>
              </w:rPr>
              <w:t>MDA Engineer</w:t>
            </w:r>
          </w:p>
        </w:tc>
        <w:tc>
          <w:tcPr>
            <w:tcW w:type="dxa" w:w="1984"/>
            <w:vAlign w:val="center"/>
          </w:tcPr>
          <w:p>
            <w:r/>
            <w:r>
              <w:rPr>
                <w:sz w:val="20"/>
              </w:rPr>
              <w:t>Measurement Book</w:t>
            </w:r>
          </w:p>
        </w:tc>
        <w:tc>
          <w:tcPr>
            <w:tcW w:type="dxa" w:w="1701"/>
            <w:vAlign w:val="center"/>
          </w:tcPr>
          <w:p>
            <w:r/>
            <w:r>
              <w:rPr>
                <w:sz w:val="20"/>
              </w:rPr>
              <w:t>AP</w:t>
            </w:r>
          </w:p>
        </w:tc>
      </w:tr>
      <w:tr>
        <w:tc>
          <w:tcPr>
            <w:tcW w:type="dxa" w:w="1984"/>
            <w:vAlign w:val="center"/>
          </w:tcPr>
          <w:p>
            <w:r/>
            <w:r>
              <w:rPr>
                <w:sz w:val="20"/>
              </w:rPr>
              <w:t>IPC approval</w:t>
            </w:r>
          </w:p>
        </w:tc>
        <w:tc>
          <w:tcPr>
            <w:tcW w:type="dxa" w:w="1701"/>
            <w:vAlign w:val="center"/>
          </w:tcPr>
          <w:p>
            <w:r/>
            <w:r>
              <w:rPr>
                <w:sz w:val="20"/>
              </w:rPr>
              <w:t>Finance Approver</w:t>
            </w:r>
          </w:p>
        </w:tc>
        <w:tc>
          <w:tcPr>
            <w:tcW w:type="dxa" w:w="1701"/>
            <w:vAlign w:val="center"/>
          </w:tcPr>
          <w:p>
            <w:r/>
            <w:r>
              <w:rPr>
                <w:sz w:val="20"/>
              </w:rPr>
              <w:t>MDA Head / PS</w:t>
            </w:r>
          </w:p>
        </w:tc>
        <w:tc>
          <w:tcPr>
            <w:tcW w:type="dxa" w:w="1984"/>
            <w:vAlign w:val="center"/>
          </w:tcPr>
          <w:p>
            <w:r/>
            <w:r>
              <w:rPr>
                <w:sz w:val="20"/>
              </w:rPr>
              <w:t>Internal Audit</w:t>
            </w:r>
          </w:p>
        </w:tc>
        <w:tc>
          <w:tcPr>
            <w:tcW w:type="dxa" w:w="1701"/>
            <w:vAlign w:val="center"/>
          </w:tcPr>
          <w:p>
            <w:r/>
            <w:r>
              <w:rPr>
                <w:sz w:val="20"/>
              </w:rPr>
              <w:t>Treasury</w:t>
            </w:r>
          </w:p>
        </w:tc>
      </w:tr>
      <w:tr>
        <w:tc>
          <w:tcPr>
            <w:tcW w:type="dxa" w:w="1984"/>
            <w:vAlign w:val="center"/>
          </w:tcPr>
          <w:p>
            <w:r/>
            <w:r>
              <w:rPr>
                <w:sz w:val="20"/>
              </w:rPr>
              <w:t>Voucher raising</w:t>
            </w:r>
          </w:p>
        </w:tc>
        <w:tc>
          <w:tcPr>
            <w:tcW w:type="dxa" w:w="1701"/>
            <w:vAlign w:val="center"/>
          </w:tcPr>
          <w:p>
            <w:r/>
            <w:r>
              <w:rPr>
                <w:sz w:val="20"/>
              </w:rPr>
              <w:t>AP Officer</w:t>
            </w:r>
          </w:p>
        </w:tc>
        <w:tc>
          <w:tcPr>
            <w:tcW w:type="dxa" w:w="1701"/>
            <w:vAlign w:val="center"/>
          </w:tcPr>
          <w:p>
            <w:r/>
            <w:r>
              <w:rPr>
                <w:sz w:val="20"/>
              </w:rPr>
              <w:t>Accountant-General</w:t>
            </w:r>
          </w:p>
        </w:tc>
        <w:tc>
          <w:tcPr>
            <w:tcW w:type="dxa" w:w="1984"/>
            <w:vAlign w:val="center"/>
          </w:tcPr>
          <w:p>
            <w:r/>
            <w:r>
              <w:rPr>
                <w:sz w:val="20"/>
              </w:rPr>
              <w:t>Treasury</w:t>
            </w:r>
          </w:p>
        </w:tc>
        <w:tc>
          <w:tcPr>
            <w:tcW w:type="dxa" w:w="1701"/>
            <w:vAlign w:val="center"/>
          </w:tcPr>
          <w:p>
            <w:r/>
            <w:r>
              <w:rPr>
                <w:sz w:val="20"/>
              </w:rPr>
              <w:t>Audit</w:t>
            </w:r>
          </w:p>
        </w:tc>
      </w:tr>
      <w:tr>
        <w:tc>
          <w:tcPr>
            <w:tcW w:type="dxa" w:w="1984"/>
            <w:vAlign w:val="center"/>
          </w:tcPr>
          <w:p>
            <w:r/>
            <w:r>
              <w:rPr>
                <w:sz w:val="20"/>
              </w:rPr>
              <w:t>Payment</w:t>
            </w:r>
          </w:p>
        </w:tc>
        <w:tc>
          <w:tcPr>
            <w:tcW w:type="dxa" w:w="1701"/>
            <w:vAlign w:val="center"/>
          </w:tcPr>
          <w:p>
            <w:r/>
            <w:r>
              <w:rPr>
                <w:sz w:val="20"/>
              </w:rPr>
              <w:t>Treasury / Cashier</w:t>
            </w:r>
          </w:p>
        </w:tc>
        <w:tc>
          <w:tcPr>
            <w:tcW w:type="dxa" w:w="1701"/>
            <w:vAlign w:val="center"/>
          </w:tcPr>
          <w:p>
            <w:r/>
            <w:r>
              <w:rPr>
                <w:sz w:val="20"/>
              </w:rPr>
              <w:t>Accountant-General</w:t>
            </w:r>
          </w:p>
        </w:tc>
        <w:tc>
          <w:tcPr>
            <w:tcW w:type="dxa" w:w="1984"/>
            <w:vAlign w:val="center"/>
          </w:tcPr>
          <w:p>
            <w:r/>
            <w:r>
              <w:rPr>
                <w:sz w:val="20"/>
              </w:rPr>
              <w:t>Bank; FIRS</w:t>
            </w:r>
          </w:p>
        </w:tc>
        <w:tc>
          <w:tcPr>
            <w:tcW w:type="dxa" w:w="1701"/>
            <w:vAlign w:val="center"/>
          </w:tcPr>
          <w:p>
            <w:r/>
            <w:r>
              <w:rPr>
                <w:sz w:val="20"/>
              </w:rPr>
              <w:t>Vendor</w:t>
            </w:r>
          </w:p>
        </w:tc>
      </w:tr>
      <w:tr>
        <w:tc>
          <w:tcPr>
            <w:tcW w:type="dxa" w:w="1984"/>
            <w:vAlign w:val="center"/>
          </w:tcPr>
          <w:p>
            <w:r/>
            <w:r>
              <w:rPr>
                <w:sz w:val="20"/>
              </w:rPr>
              <w:t>Variation approval</w:t>
            </w:r>
          </w:p>
        </w:tc>
        <w:tc>
          <w:tcPr>
            <w:tcW w:type="dxa" w:w="1701"/>
            <w:vAlign w:val="center"/>
          </w:tcPr>
          <w:p>
            <w:r/>
            <w:r>
              <w:rPr>
                <w:sz w:val="20"/>
              </w:rPr>
              <w:t>Tier actor</w:t>
            </w:r>
          </w:p>
        </w:tc>
        <w:tc>
          <w:tcPr>
            <w:tcW w:type="dxa" w:w="1701"/>
            <w:vAlign w:val="center"/>
          </w:tcPr>
          <w:p>
            <w:r/>
            <w:r>
              <w:rPr>
                <w:sz w:val="20"/>
              </w:rPr>
              <w:t>MDA / Board / BPP</w:t>
            </w:r>
          </w:p>
        </w:tc>
        <w:tc>
          <w:tcPr>
            <w:tcW w:type="dxa" w:w="1984"/>
            <w:vAlign w:val="center"/>
          </w:tcPr>
          <w:p>
            <w:r/>
            <w:r>
              <w:rPr>
                <w:sz w:val="20"/>
              </w:rPr>
              <w:t>Engineer</w:t>
            </w:r>
          </w:p>
        </w:tc>
        <w:tc>
          <w:tcPr>
            <w:tcW w:type="dxa" w:w="1701"/>
            <w:vAlign w:val="center"/>
          </w:tcPr>
          <w:p>
            <w:r/>
            <w:r>
              <w:rPr>
                <w:sz w:val="20"/>
              </w:rPr>
              <w:t>Vendor; AG</w:t>
            </w:r>
          </w:p>
        </w:tc>
      </w:tr>
      <w:tr>
        <w:tc>
          <w:tcPr>
            <w:tcW w:type="dxa" w:w="1984"/>
            <w:vAlign w:val="center"/>
          </w:tcPr>
          <w:p>
            <w:r/>
            <w:r>
              <w:rPr>
                <w:sz w:val="20"/>
              </w:rPr>
              <w:t>Retention release</w:t>
            </w:r>
          </w:p>
        </w:tc>
        <w:tc>
          <w:tcPr>
            <w:tcW w:type="dxa" w:w="1701"/>
            <w:vAlign w:val="center"/>
          </w:tcPr>
          <w:p>
            <w:r/>
            <w:r>
              <w:rPr>
                <w:sz w:val="20"/>
              </w:rPr>
              <w:t>AP + Treasury</w:t>
            </w:r>
          </w:p>
        </w:tc>
        <w:tc>
          <w:tcPr>
            <w:tcW w:type="dxa" w:w="1701"/>
            <w:vAlign w:val="center"/>
          </w:tcPr>
          <w:p>
            <w:r/>
            <w:r>
              <w:rPr>
                <w:sz w:val="20"/>
              </w:rPr>
              <w:t>Accountant-General</w:t>
            </w:r>
          </w:p>
        </w:tc>
        <w:tc>
          <w:tcPr>
            <w:tcW w:type="dxa" w:w="1984"/>
            <w:vAlign w:val="center"/>
          </w:tcPr>
          <w:p>
            <w:r/>
            <w:r>
              <w:rPr>
                <w:sz w:val="20"/>
              </w:rPr>
              <w:t>Engineer</w:t>
            </w:r>
          </w:p>
        </w:tc>
        <w:tc>
          <w:tcPr>
            <w:tcW w:type="dxa" w:w="1701"/>
            <w:vAlign w:val="center"/>
          </w:tcPr>
          <w:p>
            <w:r/>
            <w:r>
              <w:rPr>
                <w:sz w:val="20"/>
              </w:rPr>
              <w:t>Vendor</w:t>
            </w:r>
          </w:p>
        </w:tc>
      </w:tr>
      <w:tr>
        <w:tc>
          <w:tcPr>
            <w:tcW w:type="dxa" w:w="1984"/>
            <w:vAlign w:val="center"/>
          </w:tcPr>
          <w:p>
            <w:r/>
            <w:r>
              <w:rPr>
                <w:sz w:val="20"/>
              </w:rPr>
              <w:t>Closure</w:t>
            </w:r>
          </w:p>
        </w:tc>
        <w:tc>
          <w:tcPr>
            <w:tcW w:type="dxa" w:w="1701"/>
            <w:vAlign w:val="center"/>
          </w:tcPr>
          <w:p>
            <w:r/>
            <w:r>
              <w:rPr>
                <w:sz w:val="20"/>
              </w:rPr>
              <w:t>Procurement Officer</w:t>
            </w:r>
          </w:p>
        </w:tc>
        <w:tc>
          <w:tcPr>
            <w:tcW w:type="dxa" w:w="1701"/>
            <w:vAlign w:val="center"/>
          </w:tcPr>
          <w:p>
            <w:r/>
            <w:r>
              <w:rPr>
                <w:sz w:val="20"/>
              </w:rPr>
              <w:t>MDA Head</w:t>
            </w:r>
          </w:p>
        </w:tc>
        <w:tc>
          <w:tcPr>
            <w:tcW w:type="dxa" w:w="1984"/>
            <w:vAlign w:val="center"/>
          </w:tcPr>
          <w:p>
            <w:r/>
            <w:r>
              <w:rPr>
                <w:sz w:val="20"/>
              </w:rPr>
              <w:t>Audit</w:t>
            </w:r>
          </w:p>
        </w:tc>
        <w:tc>
          <w:tcPr>
            <w:tcW w:type="dxa" w:w="1701"/>
            <w:vAlign w:val="center"/>
          </w:tcPr>
          <w:p>
            <w:r/>
            <w:r>
              <w:rPr>
                <w:sz w:val="20"/>
              </w:rPr>
              <w:t>Vendor; AG</w:t>
            </w:r>
          </w:p>
        </w:tc>
      </w:tr>
    </w:tbl>
    <w:p>
      <w:r>
        <w:br w:type="page"/>
      </w:r>
    </w:p>
    <w:p>
      <w:pPr>
        <w:pStyle w:val="Heading1"/>
      </w:pPr>
      <w:r>
        <w:rPr>
          <w:color w:val="0B2E4F"/>
        </w:rPr>
        <w:t>9. API &amp; Service Reference</w:t>
      </w:r>
    </w:p>
    <w:tbl>
      <w:tblPr>
        <w:tblStyle w:val="LightGrid-Accent1"/>
        <w:tblW w:type="auto" w:w="0"/>
        <w:tblLook w:firstColumn="1" w:firstRow="1" w:lastColumn="0" w:lastRow="0" w:noHBand="0" w:noVBand="1" w:val="04A0"/>
      </w:tblPr>
      <w:tblGrid>
        <w:gridCol w:w="2880"/>
        <w:gridCol w:w="2880"/>
        <w:gridCol w:w="2880"/>
      </w:tblGrid>
      <w:tr>
        <w:tc>
          <w:tcPr>
            <w:tcW w:type="dxa" w:w="2154"/>
            <w:shd w:val="clear" w:color="auto" w:fill="0B2E4F"/>
            <w:vAlign w:val="center"/>
          </w:tcPr>
          <w:p>
            <w:r/>
            <w:r>
              <w:rPr>
                <w:b/>
                <w:color w:val="FFFFFF"/>
                <w:sz w:val="20"/>
              </w:rPr>
              <w:t>Step</w:t>
            </w:r>
          </w:p>
        </w:tc>
        <w:tc>
          <w:tcPr>
            <w:tcW w:type="dxa" w:w="3402"/>
            <w:shd w:val="clear" w:color="auto" w:fill="0B2E4F"/>
            <w:vAlign w:val="center"/>
          </w:tcPr>
          <w:p>
            <w:r/>
            <w:r>
              <w:rPr>
                <w:b/>
                <w:color w:val="FFFFFF"/>
                <w:sz w:val="20"/>
              </w:rPr>
              <w:t>HTTP Endpoint</w:t>
            </w:r>
          </w:p>
        </w:tc>
        <w:tc>
          <w:tcPr>
            <w:tcW w:type="dxa" w:w="3515"/>
            <w:shd w:val="clear" w:color="auto" w:fill="0B2E4F"/>
            <w:vAlign w:val="center"/>
          </w:tcPr>
          <w:p>
            <w:r/>
            <w:r>
              <w:rPr>
                <w:b/>
                <w:color w:val="FFFFFF"/>
                <w:sz w:val="20"/>
              </w:rPr>
              <w:t>Service call</w:t>
            </w:r>
          </w:p>
        </w:tc>
      </w:tr>
      <w:tr>
        <w:tc>
          <w:tcPr>
            <w:tcW w:type="dxa" w:w="2154"/>
            <w:vAlign w:val="center"/>
          </w:tcPr>
          <w:p>
            <w:r/>
            <w:r>
              <w:rPr>
                <w:sz w:val="20"/>
              </w:rPr>
              <w:t>Create contract</w:t>
            </w:r>
          </w:p>
        </w:tc>
        <w:tc>
          <w:tcPr>
            <w:tcW w:type="dxa" w:w="3402"/>
            <w:vAlign w:val="center"/>
          </w:tcPr>
          <w:p>
            <w:r/>
            <w:r>
              <w:rPr>
                <w:sz w:val="20"/>
              </w:rPr>
              <w:t>POST /api/v1/contracts/contracts/</w:t>
            </w:r>
          </w:p>
        </w:tc>
        <w:tc>
          <w:tcPr>
            <w:tcW w:type="dxa" w:w="3515"/>
            <w:vAlign w:val="center"/>
          </w:tcPr>
          <w:p>
            <w:r/>
            <w:r>
              <w:rPr>
                <w:sz w:val="20"/>
              </w:rPr>
              <w:t>ContractSerializer.create</w:t>
            </w:r>
          </w:p>
        </w:tc>
      </w:tr>
      <w:tr>
        <w:tc>
          <w:tcPr>
            <w:tcW w:type="dxa" w:w="2154"/>
            <w:vAlign w:val="center"/>
          </w:tcPr>
          <w:p>
            <w:r/>
            <w:r>
              <w:rPr>
                <w:sz w:val="20"/>
              </w:rPr>
              <w:t>Activate</w:t>
            </w:r>
          </w:p>
        </w:tc>
        <w:tc>
          <w:tcPr>
            <w:tcW w:type="dxa" w:w="3402"/>
            <w:vAlign w:val="center"/>
          </w:tcPr>
          <w:p>
            <w:r/>
            <w:r>
              <w:rPr>
                <w:sz w:val="20"/>
              </w:rPr>
              <w:t>POST /contracts/{id}/activate/</w:t>
            </w:r>
          </w:p>
        </w:tc>
        <w:tc>
          <w:tcPr>
            <w:tcW w:type="dxa" w:w="3515"/>
            <w:vAlign w:val="center"/>
          </w:tcPr>
          <w:p>
            <w:r/>
            <w:r>
              <w:rPr>
                <w:sz w:val="20"/>
              </w:rPr>
              <w:t>ContractActivationService.activate</w:t>
            </w:r>
          </w:p>
        </w:tc>
      </w:tr>
      <w:tr>
        <w:tc>
          <w:tcPr>
            <w:tcW w:type="dxa" w:w="2154"/>
            <w:vAlign w:val="center"/>
          </w:tcPr>
          <w:p>
            <w:r/>
            <w:r>
              <w:rPr>
                <w:sz w:val="20"/>
              </w:rPr>
              <w:t>Create milestones</w:t>
            </w:r>
          </w:p>
        </w:tc>
        <w:tc>
          <w:tcPr>
            <w:tcW w:type="dxa" w:w="3402"/>
            <w:vAlign w:val="center"/>
          </w:tcPr>
          <w:p>
            <w:r/>
            <w:r>
              <w:rPr>
                <w:sz w:val="20"/>
              </w:rPr>
              <w:t>POST /api/v1/contracts/milestones/</w:t>
            </w:r>
          </w:p>
        </w:tc>
        <w:tc>
          <w:tcPr>
            <w:tcW w:type="dxa" w:w="3515"/>
            <w:vAlign w:val="center"/>
          </w:tcPr>
          <w:p>
            <w:r/>
            <w:r>
              <w:rPr>
                <w:sz w:val="20"/>
              </w:rPr>
              <w:t>MilestoneSerializer.create</w:t>
            </w:r>
          </w:p>
        </w:tc>
      </w:tr>
      <w:tr>
        <w:tc>
          <w:tcPr>
            <w:tcW w:type="dxa" w:w="2154"/>
            <w:vAlign w:val="center"/>
          </w:tcPr>
          <w:p>
            <w:r/>
            <w:r>
              <w:rPr>
                <w:sz w:val="20"/>
              </w:rPr>
              <w:t>Transition state</w:t>
            </w:r>
          </w:p>
        </w:tc>
        <w:tc>
          <w:tcPr>
            <w:tcW w:type="dxa" w:w="3402"/>
            <w:vAlign w:val="center"/>
          </w:tcPr>
          <w:p>
            <w:r/>
            <w:r>
              <w:rPr>
                <w:sz w:val="20"/>
              </w:rPr>
              <w:t>POST /contracts/{id}/transition/</w:t>
            </w:r>
          </w:p>
        </w:tc>
        <w:tc>
          <w:tcPr>
            <w:tcW w:type="dxa" w:w="3515"/>
            <w:vAlign w:val="center"/>
          </w:tcPr>
          <w:p>
            <w:r/>
            <w:r>
              <w:rPr>
                <w:sz w:val="20"/>
              </w:rPr>
              <w:t>Contract.transition_to</w:t>
            </w:r>
          </w:p>
        </w:tc>
      </w:tr>
      <w:tr>
        <w:tc>
          <w:tcPr>
            <w:tcW w:type="dxa" w:w="2154"/>
            <w:vAlign w:val="center"/>
          </w:tcPr>
          <w:p>
            <w:r/>
            <w:r>
              <w:rPr>
                <w:sz w:val="20"/>
              </w:rPr>
              <w:t>Raise mobilization</w:t>
            </w:r>
          </w:p>
        </w:tc>
        <w:tc>
          <w:tcPr>
            <w:tcW w:type="dxa" w:w="3402"/>
            <w:vAlign w:val="center"/>
          </w:tcPr>
          <w:p>
            <w:r/>
            <w:r>
              <w:rPr>
                <w:sz w:val="20"/>
              </w:rPr>
              <w:t>POST /contracts/{id}/mobilization/raise/</w:t>
            </w:r>
          </w:p>
        </w:tc>
        <w:tc>
          <w:tcPr>
            <w:tcW w:type="dxa" w:w="3515"/>
            <w:vAlign w:val="center"/>
          </w:tcPr>
          <w:p>
            <w:r/>
            <w:r>
              <w:rPr>
                <w:sz w:val="20"/>
              </w:rPr>
              <w:t>MobilizationService.raise_voucher</w:t>
            </w:r>
          </w:p>
        </w:tc>
      </w:tr>
      <w:tr>
        <w:tc>
          <w:tcPr>
            <w:tcW w:type="dxa" w:w="2154"/>
            <w:vAlign w:val="center"/>
          </w:tcPr>
          <w:p>
            <w:r/>
            <w:r>
              <w:rPr>
                <w:sz w:val="20"/>
              </w:rPr>
              <w:t>Pay mobilization</w:t>
            </w:r>
          </w:p>
        </w:tc>
        <w:tc>
          <w:tcPr>
            <w:tcW w:type="dxa" w:w="3402"/>
            <w:vAlign w:val="center"/>
          </w:tcPr>
          <w:p>
            <w:r/>
            <w:r>
              <w:rPr>
                <w:sz w:val="20"/>
              </w:rPr>
              <w:t>POST /mobilization/{id}/pay/</w:t>
            </w:r>
          </w:p>
        </w:tc>
        <w:tc>
          <w:tcPr>
            <w:tcW w:type="dxa" w:w="3515"/>
            <w:vAlign w:val="center"/>
          </w:tcPr>
          <w:p>
            <w:r/>
            <w:r>
              <w:rPr>
                <w:sz w:val="20"/>
              </w:rPr>
              <w:t>MobilizationService.mark_paid</w:t>
            </w:r>
          </w:p>
        </w:tc>
      </w:tr>
      <w:tr>
        <w:tc>
          <w:tcPr>
            <w:tcW w:type="dxa" w:w="2154"/>
            <w:vAlign w:val="center"/>
          </w:tcPr>
          <w:p>
            <w:r/>
            <w:r>
              <w:rPr>
                <w:sz w:val="20"/>
              </w:rPr>
              <w:t>Submit IPC</w:t>
            </w:r>
          </w:p>
        </w:tc>
        <w:tc>
          <w:tcPr>
            <w:tcW w:type="dxa" w:w="3402"/>
            <w:vAlign w:val="center"/>
          </w:tcPr>
          <w:p>
            <w:r/>
            <w:r>
              <w:rPr>
                <w:sz w:val="20"/>
              </w:rPr>
              <w:t>POST /ipcs/</w:t>
            </w:r>
          </w:p>
        </w:tc>
        <w:tc>
          <w:tcPr>
            <w:tcW w:type="dxa" w:w="3515"/>
            <w:vAlign w:val="center"/>
          </w:tcPr>
          <w:p>
            <w:r/>
            <w:r>
              <w:rPr>
                <w:sz w:val="20"/>
              </w:rPr>
              <w:t>IPCService.submit_ipc</w:t>
            </w:r>
          </w:p>
        </w:tc>
      </w:tr>
      <w:tr>
        <w:tc>
          <w:tcPr>
            <w:tcW w:type="dxa" w:w="2154"/>
            <w:vAlign w:val="center"/>
          </w:tcPr>
          <w:p>
            <w:r/>
            <w:r>
              <w:rPr>
                <w:sz w:val="20"/>
              </w:rPr>
              <w:t>Certify IPC</w:t>
            </w:r>
          </w:p>
        </w:tc>
        <w:tc>
          <w:tcPr>
            <w:tcW w:type="dxa" w:w="3402"/>
            <w:vAlign w:val="center"/>
          </w:tcPr>
          <w:p>
            <w:r/>
            <w:r>
              <w:rPr>
                <w:sz w:val="20"/>
              </w:rPr>
              <w:t>POST /ipcs/{id}/certify/</w:t>
            </w:r>
          </w:p>
        </w:tc>
        <w:tc>
          <w:tcPr>
            <w:tcW w:type="dxa" w:w="3515"/>
            <w:vAlign w:val="center"/>
          </w:tcPr>
          <w:p>
            <w:r/>
            <w:r>
              <w:rPr>
                <w:sz w:val="20"/>
              </w:rPr>
              <w:t>IPCService.certify</w:t>
            </w:r>
          </w:p>
        </w:tc>
      </w:tr>
      <w:tr>
        <w:tc>
          <w:tcPr>
            <w:tcW w:type="dxa" w:w="2154"/>
            <w:vAlign w:val="center"/>
          </w:tcPr>
          <w:p>
            <w:r/>
            <w:r>
              <w:rPr>
                <w:sz w:val="20"/>
              </w:rPr>
              <w:t>Approve IPC</w:t>
            </w:r>
          </w:p>
        </w:tc>
        <w:tc>
          <w:tcPr>
            <w:tcW w:type="dxa" w:w="3402"/>
            <w:vAlign w:val="center"/>
          </w:tcPr>
          <w:p>
            <w:r/>
            <w:r>
              <w:rPr>
                <w:sz w:val="20"/>
              </w:rPr>
              <w:t>POST /ipcs/{id}/approve/</w:t>
            </w:r>
          </w:p>
        </w:tc>
        <w:tc>
          <w:tcPr>
            <w:tcW w:type="dxa" w:w="3515"/>
            <w:vAlign w:val="center"/>
          </w:tcPr>
          <w:p>
            <w:r/>
            <w:r>
              <w:rPr>
                <w:sz w:val="20"/>
              </w:rPr>
              <w:t>IPCService.approve</w:t>
            </w:r>
          </w:p>
        </w:tc>
      </w:tr>
      <w:tr>
        <w:tc>
          <w:tcPr>
            <w:tcW w:type="dxa" w:w="2154"/>
            <w:vAlign w:val="center"/>
          </w:tcPr>
          <w:p>
            <w:r/>
            <w:r>
              <w:rPr>
                <w:sz w:val="20"/>
              </w:rPr>
              <w:t>Raise voucher</w:t>
            </w:r>
          </w:p>
        </w:tc>
        <w:tc>
          <w:tcPr>
            <w:tcW w:type="dxa" w:w="3402"/>
            <w:vAlign w:val="center"/>
          </w:tcPr>
          <w:p>
            <w:r/>
            <w:r>
              <w:rPr>
                <w:sz w:val="20"/>
              </w:rPr>
              <w:t>POST /ipcs/{id}/raise-voucher/</w:t>
            </w:r>
          </w:p>
        </w:tc>
        <w:tc>
          <w:tcPr>
            <w:tcW w:type="dxa" w:w="3515"/>
            <w:vAlign w:val="center"/>
          </w:tcPr>
          <w:p>
            <w:r/>
            <w:r>
              <w:rPr>
                <w:sz w:val="20"/>
              </w:rPr>
              <w:t>IPCService.raise_voucher</w:t>
            </w:r>
          </w:p>
        </w:tc>
      </w:tr>
      <w:tr>
        <w:tc>
          <w:tcPr>
            <w:tcW w:type="dxa" w:w="2154"/>
            <w:vAlign w:val="center"/>
          </w:tcPr>
          <w:p>
            <w:r/>
            <w:r>
              <w:rPr>
                <w:sz w:val="20"/>
              </w:rPr>
              <w:t>Mark paid</w:t>
            </w:r>
          </w:p>
        </w:tc>
        <w:tc>
          <w:tcPr>
            <w:tcW w:type="dxa" w:w="3402"/>
            <w:vAlign w:val="center"/>
          </w:tcPr>
          <w:p>
            <w:r/>
            <w:r>
              <w:rPr>
                <w:sz w:val="20"/>
              </w:rPr>
              <w:t>POST /ipcs/{id}/mark-paid/</w:t>
            </w:r>
          </w:p>
        </w:tc>
        <w:tc>
          <w:tcPr>
            <w:tcW w:type="dxa" w:w="3515"/>
            <w:vAlign w:val="center"/>
          </w:tcPr>
          <w:p>
            <w:r/>
            <w:r>
              <w:rPr>
                <w:sz w:val="20"/>
              </w:rPr>
              <w:t>IPCService.mark_paid</w:t>
            </w:r>
          </w:p>
        </w:tc>
      </w:tr>
      <w:tr>
        <w:tc>
          <w:tcPr>
            <w:tcW w:type="dxa" w:w="2154"/>
            <w:vAlign w:val="center"/>
          </w:tcPr>
          <w:p>
            <w:r/>
            <w:r>
              <w:rPr>
                <w:sz w:val="20"/>
              </w:rPr>
              <w:t>Submit variation</w:t>
            </w:r>
          </w:p>
        </w:tc>
        <w:tc>
          <w:tcPr>
            <w:tcW w:type="dxa" w:w="3402"/>
            <w:vAlign w:val="center"/>
          </w:tcPr>
          <w:p>
            <w:r/>
            <w:r>
              <w:rPr>
                <w:sz w:val="20"/>
              </w:rPr>
              <w:t>POST /variations/</w:t>
            </w:r>
          </w:p>
        </w:tc>
        <w:tc>
          <w:tcPr>
            <w:tcW w:type="dxa" w:w="3515"/>
            <w:vAlign w:val="center"/>
          </w:tcPr>
          <w:p>
            <w:r/>
            <w:r>
              <w:rPr>
                <w:sz w:val="20"/>
              </w:rPr>
              <w:t>ContractVariation.save</w:t>
            </w:r>
          </w:p>
        </w:tc>
      </w:tr>
      <w:tr>
        <w:tc>
          <w:tcPr>
            <w:tcW w:type="dxa" w:w="2154"/>
            <w:vAlign w:val="center"/>
          </w:tcPr>
          <w:p>
            <w:r/>
            <w:r>
              <w:rPr>
                <w:sz w:val="20"/>
              </w:rPr>
              <w:t>Approve variation</w:t>
            </w:r>
          </w:p>
        </w:tc>
        <w:tc>
          <w:tcPr>
            <w:tcW w:type="dxa" w:w="3402"/>
            <w:vAlign w:val="center"/>
          </w:tcPr>
          <w:p>
            <w:r/>
            <w:r>
              <w:rPr>
                <w:sz w:val="20"/>
              </w:rPr>
              <w:t>POST /variations/{id}/approve/</w:t>
            </w:r>
          </w:p>
        </w:tc>
        <w:tc>
          <w:tcPr>
            <w:tcW w:type="dxa" w:w="3515"/>
            <w:vAlign w:val="center"/>
          </w:tcPr>
          <w:p>
            <w:r/>
            <w:r>
              <w:rPr>
                <w:sz w:val="20"/>
              </w:rPr>
              <w:t>VariationService.approve</w:t>
            </w:r>
          </w:p>
        </w:tc>
      </w:tr>
      <w:tr>
        <w:tc>
          <w:tcPr>
            <w:tcW w:type="dxa" w:w="2154"/>
            <w:vAlign w:val="center"/>
          </w:tcPr>
          <w:p>
            <w:r/>
            <w:r>
              <w:rPr>
                <w:sz w:val="20"/>
              </w:rPr>
              <w:t>Request retention release</w:t>
            </w:r>
          </w:p>
        </w:tc>
        <w:tc>
          <w:tcPr>
            <w:tcW w:type="dxa" w:w="3402"/>
            <w:vAlign w:val="center"/>
          </w:tcPr>
          <w:p>
            <w:r/>
            <w:r>
              <w:rPr>
                <w:sz w:val="20"/>
              </w:rPr>
              <w:t>POST /retentions/</w:t>
            </w:r>
          </w:p>
        </w:tc>
        <w:tc>
          <w:tcPr>
            <w:tcW w:type="dxa" w:w="3515"/>
            <w:vAlign w:val="center"/>
          </w:tcPr>
          <w:p>
            <w:r/>
            <w:r>
              <w:rPr>
                <w:sz w:val="20"/>
              </w:rPr>
              <w:t>RetentionService.request</w:t>
            </w:r>
          </w:p>
        </w:tc>
      </w:tr>
      <w:tr>
        <w:tc>
          <w:tcPr>
            <w:tcW w:type="dxa" w:w="2154"/>
            <w:vAlign w:val="center"/>
          </w:tcPr>
          <w:p>
            <w:r/>
            <w:r>
              <w:rPr>
                <w:sz w:val="20"/>
              </w:rPr>
              <w:t>Pay retention</w:t>
            </w:r>
          </w:p>
        </w:tc>
        <w:tc>
          <w:tcPr>
            <w:tcW w:type="dxa" w:w="3402"/>
            <w:vAlign w:val="center"/>
          </w:tcPr>
          <w:p>
            <w:r/>
            <w:r>
              <w:rPr>
                <w:sz w:val="20"/>
              </w:rPr>
              <w:t>POST /retentions/{id}/pay/</w:t>
            </w:r>
          </w:p>
        </w:tc>
        <w:tc>
          <w:tcPr>
            <w:tcW w:type="dxa" w:w="3515"/>
            <w:vAlign w:val="center"/>
          </w:tcPr>
          <w:p>
            <w:r/>
            <w:r>
              <w:rPr>
                <w:sz w:val="20"/>
              </w:rPr>
              <w:t>RetentionService.mark_paid</w:t>
            </w:r>
          </w:p>
        </w:tc>
      </w:tr>
      <w:tr>
        <w:tc>
          <w:tcPr>
            <w:tcW w:type="dxa" w:w="2154"/>
            <w:vAlign w:val="center"/>
          </w:tcPr>
          <w:p>
            <w:r/>
            <w:r>
              <w:rPr>
                <w:sz w:val="20"/>
              </w:rPr>
              <w:t>Close contract</w:t>
            </w:r>
          </w:p>
        </w:tc>
        <w:tc>
          <w:tcPr>
            <w:tcW w:type="dxa" w:w="3402"/>
            <w:vAlign w:val="center"/>
          </w:tcPr>
          <w:p>
            <w:r/>
            <w:r>
              <w:rPr>
                <w:sz w:val="20"/>
              </w:rPr>
              <w:t>POST /contracts/{id}/close/</w:t>
            </w:r>
          </w:p>
        </w:tc>
        <w:tc>
          <w:tcPr>
            <w:tcW w:type="dxa" w:w="3515"/>
            <w:vAlign w:val="center"/>
          </w:tcPr>
          <w:p>
            <w:r/>
            <w:r>
              <w:rPr>
                <w:sz w:val="20"/>
              </w:rPr>
              <w:t>Contract.transition_to(CLOSED)</w:t>
            </w:r>
          </w:p>
        </w:tc>
      </w:tr>
    </w:tbl>
    <w:p/>
    <w:p>
      <w:pPr>
        <w:jc w:val="center"/>
      </w:pPr>
      <w:r>
        <w:rPr>
          <w:i/>
          <w:color w:val="6B7280"/>
          <w:sz w:val="18"/>
        </w:rPr>
        <w:t>Quot PSE · Nigeria IFMIS · Delta State pilot — process derived directly from contracts/, accounting/, and workflow/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