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9.png" ContentType="image/png"/>
  <Override PartName="/word/media/rId26.png" ContentType="image/png"/>
  <Override PartName="/word/media/rId33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70.png" ContentType="image/png"/>
  <Override PartName="/word/media/rId74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6.png" ContentType="image/png"/>
  <Override PartName="/word/media/rId100.png" ContentType="image/png"/>
  <Override PartName="/word/media/rId107.png" ContentType="image/png"/>
  <Override PartName="/word/media/rId111.png" ContentType="image/png"/>
  <Override PartName="/word/media/rId118.png" ContentType="image/png"/>
  <Override PartName="/word/media/rId122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Quot PSE - Module Process Flows</w:t>
      </w:r>
    </w:p>
    <w:p>
      <w:pPr>
        <w:pStyle w:val="Subtitle"/>
      </w:pPr>
      <w:r>
        <w:t xml:space="preserve">Public-Sector IFMIS Architecture Reference</w:t>
      </w:r>
    </w:p>
    <w:p>
      <w:pPr>
        <w:pStyle w:val="Author"/>
      </w:pPr>
      <w:r>
        <w:t xml:space="preserve">Quot PSE Engineering</w:t>
      </w:r>
    </w:p>
    <w:p>
      <w:pPr>
        <w:pStyle w:val="Date"/>
      </w:pPr>
      <w:r>
        <w:t xml:space="preserve">2026-05-08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7" w:name="quot-pse-module-process-flows"/>
    <w:p>
      <w:pPr>
        <w:pStyle w:val="Heading1"/>
      </w:pPr>
      <w:r>
        <w:t xml:space="preserve">Quot PSE — Module Process Flows</w:t>
      </w:r>
    </w:p>
    <w:p>
      <w:pPr>
        <w:pStyle w:val="BlockText"/>
      </w:pPr>
      <w:r>
        <w:t xml:space="preserve">Public-sector IFMIS (Integrated Financial Management Information System) for</w:t>
      </w:r>
      <w:r>
        <w:t xml:space="preserve"> </w:t>
      </w:r>
      <w:r>
        <w:t xml:space="preserve">Nigerian state governments. Multi-tenant Django + DRF backend with a React 19</w:t>
      </w:r>
      <w:r>
        <w:t xml:space="preserve"> </w:t>
      </w:r>
      <w:r>
        <w:t xml:space="preserve">+ Vite frontend. Each tenant is a PostgreSQL schema (</w:t>
      </w:r>
      <w:r>
        <w:rPr>
          <w:rStyle w:val="VerbatimChar"/>
        </w:rPr>
        <w:t xml:space="preserve">django-tenants</w:t>
      </w:r>
      <w:r>
        <w:t xml:space="preserve">).</w:t>
      </w:r>
    </w:p>
    <w:p>
      <w:pPr>
        <w:pStyle w:val="BlockText"/>
      </w:pPr>
      <w:r>
        <w:t xml:space="preserve">This document maps each module’s domain process flow and the points where it</w:t>
      </w:r>
      <w:r>
        <w:t xml:space="preserve"> </w:t>
      </w:r>
      <w:r>
        <w:t xml:space="preserve">integrates with other modules. Diagrams are Mermaid; render in any</w:t>
      </w:r>
      <w:r>
        <w:t xml:space="preserve"> </w:t>
      </w:r>
      <w:r>
        <w:t xml:space="preserve">Markdown viewer that supports Mermaid (GitHub, VS Code with extension,</w:t>
      </w:r>
      <w:r>
        <w:t xml:space="preserve"> </w:t>
      </w:r>
      <w:r>
        <w:t xml:space="preserve">MkDocs Material, etc.).</w:t>
      </w:r>
    </w:p>
    <w:p>
      <w:pPr>
        <w:pStyle w:val="BlockText"/>
      </w:pPr>
      <w:r>
        <w:rPr>
          <w:b/>
          <w:bCs/>
        </w:rPr>
        <w:t xml:space="preserve">Last revalidated:</w:t>
      </w:r>
      <w:r>
        <w:t xml:space="preserve"> </w:t>
      </w:r>
      <w:r>
        <w:t xml:space="preserve">2026-05-08 — after the 9-finding audit fix-set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docs/AUDIT/2026-05-08-fix-set.md</w:t>
      </w:r>
      <w:r>
        <w:t xml:space="preserve"> </w:t>
      </w:r>
      <w:r>
        <w:t xml:space="preserve">if present, or the session</w:t>
      </w:r>
      <w:r>
        <w:t xml:space="preserve"> </w:t>
      </w:r>
      <w:r>
        <w:t xml:space="preserve">summary).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87e85271087461186764cc2df649eb5fac9f908">
        <w:r>
          <w:rPr>
            <w:rStyle w:val="Hyperlink"/>
          </w:rPr>
          <w:t xml:space="preserve">Cross-module integration map</w:t>
        </w:r>
      </w:hyperlink>
    </w:p>
    <w:p>
      <w:pPr>
        <w:pStyle w:val="Compact"/>
        <w:numPr>
          <w:ilvl w:val="0"/>
          <w:numId w:val="1001"/>
        </w:numPr>
      </w:pPr>
      <w:hyperlink w:anchor="X9c1d155ca0c20e7c986c5c39c17c942a37ba0ad">
        <w:r>
          <w:rPr>
            <w:rStyle w:val="Hyperlink"/>
          </w:rPr>
          <w:t xml:space="preserve">Tenants module</w:t>
        </w:r>
      </w:hyperlink>
    </w:p>
    <w:p>
      <w:pPr>
        <w:pStyle w:val="Compact"/>
        <w:numPr>
          <w:ilvl w:val="0"/>
          <w:numId w:val="1001"/>
        </w:numPr>
      </w:pPr>
      <w:hyperlink w:anchor="Xf602953497cc635b6907ad204997cf037f0cf97">
        <w:r>
          <w:rPr>
            <w:rStyle w:val="Hyperlink"/>
          </w:rPr>
          <w:t xml:space="preserve">Core module</w:t>
        </w:r>
      </w:hyperlink>
    </w:p>
    <w:p>
      <w:pPr>
        <w:pStyle w:val="Compact"/>
        <w:numPr>
          <w:ilvl w:val="0"/>
          <w:numId w:val="1001"/>
        </w:numPr>
      </w:pPr>
      <w:hyperlink w:anchor="X5e8a59fced9c573da3971bf7e5697e432fe62a8">
        <w:r>
          <w:rPr>
            <w:rStyle w:val="Hyperlink"/>
          </w:rPr>
          <w:t xml:space="preserve">Superadmin module</w:t>
        </w:r>
      </w:hyperlink>
    </w:p>
    <w:p>
      <w:pPr>
        <w:pStyle w:val="Compact"/>
        <w:numPr>
          <w:ilvl w:val="0"/>
          <w:numId w:val="1001"/>
        </w:numPr>
      </w:pPr>
      <w:hyperlink w:anchor="Xf012cc9a208187fe1f705be9c14db51d2b8013f">
        <w:r>
          <w:rPr>
            <w:rStyle w:val="Hyperlink"/>
          </w:rPr>
          <w:t xml:space="preserve">Budget module</w:t>
        </w:r>
      </w:hyperlink>
    </w:p>
    <w:p>
      <w:pPr>
        <w:pStyle w:val="Compact"/>
        <w:numPr>
          <w:ilvl w:val="0"/>
          <w:numId w:val="1001"/>
        </w:numPr>
      </w:pPr>
      <w:hyperlink w:anchor="Xd83bb6496e3c5068aeda4115e4e3837ae170bc5">
        <w:r>
          <w:rPr>
            <w:rStyle w:val="Hyperlink"/>
          </w:rPr>
          <w:t xml:space="preserve">Accounting module</w:t>
        </w:r>
      </w:hyperlink>
    </w:p>
    <w:p>
      <w:pPr>
        <w:pStyle w:val="Compact"/>
        <w:numPr>
          <w:ilvl w:val="0"/>
          <w:numId w:val="1001"/>
        </w:numPr>
      </w:pPr>
      <w:hyperlink w:anchor="X08c79ec70b447f756d5cf7b6fff0587b3def653">
        <w:r>
          <w:rPr>
            <w:rStyle w:val="Hyperlink"/>
          </w:rPr>
          <w:t xml:space="preserve">Procurement module</w:t>
        </w:r>
      </w:hyperlink>
    </w:p>
    <w:p>
      <w:pPr>
        <w:pStyle w:val="Compact"/>
        <w:numPr>
          <w:ilvl w:val="0"/>
          <w:numId w:val="1001"/>
        </w:numPr>
      </w:pPr>
      <w:hyperlink w:anchor="Xa71bed87f4a58154552567371bb933a29c9c765">
        <w:r>
          <w:rPr>
            <w:rStyle w:val="Hyperlink"/>
          </w:rPr>
          <w:t xml:space="preserve">Contracts module</w:t>
        </w:r>
      </w:hyperlink>
    </w:p>
    <w:p>
      <w:pPr>
        <w:pStyle w:val="Compact"/>
        <w:numPr>
          <w:ilvl w:val="0"/>
          <w:numId w:val="1001"/>
        </w:numPr>
      </w:pPr>
      <w:hyperlink w:anchor="X3074dd9e6bd0f0a9fe29b803083162e899d0a68">
        <w:r>
          <w:rPr>
            <w:rStyle w:val="Hyperlink"/>
          </w:rPr>
          <w:t xml:space="preserve">Inventory module</w:t>
        </w:r>
      </w:hyperlink>
    </w:p>
    <w:p>
      <w:pPr>
        <w:pStyle w:val="Compact"/>
        <w:numPr>
          <w:ilvl w:val="0"/>
          <w:numId w:val="1001"/>
        </w:numPr>
      </w:pPr>
      <w:hyperlink w:anchor="X7370b05875aefde0ad185961221dc5425170464">
        <w:r>
          <w:rPr>
            <w:rStyle w:val="Hyperlink"/>
          </w:rPr>
          <w:t xml:space="preserve">HRM module</w:t>
        </w:r>
      </w:hyperlink>
    </w:p>
    <w:p>
      <w:pPr>
        <w:pStyle w:val="Compact"/>
        <w:numPr>
          <w:ilvl w:val="0"/>
          <w:numId w:val="1001"/>
        </w:numPr>
      </w:pPr>
      <w:hyperlink w:anchor="X8ebebd166a1d0aa0dbc2934db2209c9198b0144">
        <w:r>
          <w:rPr>
            <w:rStyle w:val="Hyperlink"/>
          </w:rPr>
          <w:t xml:space="preserve">Workflow module</w:t>
        </w:r>
      </w:hyperlink>
    </w:p>
    <w:p>
      <w:pPr>
        <w:pStyle w:val="Compact"/>
        <w:numPr>
          <w:ilvl w:val="0"/>
          <w:numId w:val="1001"/>
        </w:numPr>
      </w:pPr>
      <w:hyperlink w:anchor="X08323ecd83b56f532e03834e7e34c9c3b5a35b7">
        <w:r>
          <w:rPr>
            <w:rStyle w:val="Hyperlink"/>
          </w:rPr>
          <w:t xml:space="preserve">End-to-end canonical flows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drawing>
          <wp:inline>
            <wp:extent cx="5334000" cy="352232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iagram-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2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architectural 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live in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schema. Everything else</w:t>
      </w:r>
      <w:r>
        <w:t xml:space="preserve"> </w:t>
      </w:r>
      <w:r>
        <w:t xml:space="preserve">is per-tenant (one PostgreSQL schema per state government / MDA).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is the leaf dependency — every domain module inherits</w:t>
      </w:r>
      <w:r>
        <w:t xml:space="preserve"> </w:t>
      </w:r>
      <w:r>
        <w:rPr>
          <w:rStyle w:val="VerbatimChar"/>
        </w:rPr>
        <w:t xml:space="preserve">AuditBaseModel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StatusTransitionMixin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ImmutableModelMixin</w:t>
      </w:r>
      <w:r>
        <w:t xml:space="preserve"> </w:t>
      </w:r>
      <w:r>
        <w:t xml:space="preserve">from it. Core has no domain logic.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accounting</w:t>
      </w:r>
      <w:r>
        <w:t xml:space="preserve"> </w:t>
      </w:r>
      <w:r>
        <w:t xml:space="preserve">is the GL hub. Procurement, Contracts, HRM, Inventory all</w:t>
      </w:r>
      <w:r>
        <w:t xml:space="preserve"> </w:t>
      </w:r>
      <w:r>
        <w:t xml:space="preserve">ultimately call</w:t>
      </w:r>
      <w:r>
        <w:t xml:space="preserve"> </w:t>
      </w:r>
      <w:r>
        <w:rPr>
          <w:rStyle w:val="VerbatimChar"/>
        </w:rPr>
        <w:t xml:space="preserve">IPSASJournalService.post_journal()</w:t>
      </w:r>
      <w:r>
        <w:t xml:space="preserve"> </w:t>
      </w:r>
      <w:r>
        <w:t xml:space="preserve">to land their</w:t>
      </w:r>
      <w:r>
        <w:t xml:space="preserve"> </w:t>
      </w:r>
      <w:r>
        <w:t xml:space="preserve">effects in the ledger.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 </w:t>
      </w:r>
      <w:r>
        <w:t xml:space="preserve">is the spending gate. Every</w:t>
      </w:r>
      <w:r>
        <w:t xml:space="preserve"> </w:t>
      </w:r>
      <w:r>
        <w:rPr>
          <w:rStyle w:val="VerbatimChar"/>
        </w:rPr>
        <w:t xml:space="preserve">JournalHeader → Posted</w:t>
      </w:r>
      <w:r>
        <w:t xml:space="preserve"> </w:t>
      </w:r>
      <w:r>
        <w:t xml:space="preserve">triggers</w:t>
      </w:r>
      <w:r>
        <w:t xml:space="preserve"> </w:t>
      </w:r>
      <w:r>
        <w:rPr>
          <w:rStyle w:val="VerbatimChar"/>
        </w:rPr>
        <w:t xml:space="preserve">accounting.signals.budget_enforcement</w:t>
      </w:r>
      <w:r>
        <w:t xml:space="preserve"> </w:t>
      </w:r>
      <w:r>
        <w:t xml:space="preserve">which calls into</w:t>
      </w:r>
      <w:r>
        <w:t xml:space="preserve"> </w:t>
      </w:r>
      <w:r>
        <w:rPr>
          <w:rStyle w:val="VerbatimChar"/>
        </w:rPr>
        <w:t xml:space="preserve">budget.services</w:t>
      </w:r>
      <w:r>
        <w:t xml:space="preserve"> </w:t>
      </w:r>
      <w:r>
        <w:t xml:space="preserve">for STRICT / WARNING / NONE policy decisions.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is a generic multi-step approval engine that any document</w:t>
      </w:r>
      <w:r>
        <w:t xml:space="preserve"> </w:t>
      </w:r>
      <w:r>
        <w:t xml:space="preserve">in any module can opt into via a Generic Foreign Key.</w:t>
      </w:r>
    </w:p>
    <w:p>
      <w:r>
        <w:pict>
          <v:rect style="width:0;height:1.5pt" o:hralign="center" o:hrstd="t" o:hr="t"/>
        </w:pict>
      </w:r>
    </w:p>
    <w:bookmarkEnd w:id="13"/>
    <w:bookmarkStart w:id="17" w:name="cross-module-integration-map"/>
    <w:p>
      <w:pPr>
        <w:pStyle w:val="Heading2"/>
      </w:pPr>
      <w:r>
        <w:t xml:space="preserve">2. Cross-module integration map</w:t>
      </w:r>
    </w:p>
    <w:p>
      <w:pPr>
        <w:pStyle w:val="FirstParagraph"/>
      </w:pPr>
      <w:r>
        <w:drawing>
          <wp:inline>
            <wp:extent cx="5334000" cy="1835246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iagram-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Integration patterns used: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service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IPCService → IPSASJournalService.post_journal()</w:t>
            </w:r>
          </w:p>
        </w:tc>
        <w:tc>
          <w:tcPr/>
          <w:p>
            <w:pPr>
              <w:pStyle w:val="Compact"/>
            </w:pPr>
            <w:r>
              <w:t xml:space="preserve">Synchronous, atomic GL posting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Django 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JournalHeader.pre_save → check_policy()</w:t>
            </w:r>
          </w:p>
        </w:tc>
        <w:tc>
          <w:tcPr/>
          <w:p>
            <w:pPr>
              <w:pStyle w:val="Compact"/>
            </w:pPr>
            <w:r>
              <w:t xml:space="preserve">Cross-cutting budget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workflow.signals.document_approval_completed</w:t>
            </w:r>
          </w:p>
        </w:tc>
        <w:tc>
          <w:tcPr/>
          <w:p>
            <w:pPr>
              <w:pStyle w:val="Compact"/>
            </w:pPr>
            <w:r>
              <w:t xml:space="preserve">Decoupled post-approval auto-actions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FK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workflow.Approval.content_type / object_id</w:t>
            </w:r>
          </w:p>
        </w:tc>
        <w:tc>
          <w:tcPr/>
          <w:p>
            <w:pPr>
              <w:pStyle w:val="Compact"/>
            </w:pPr>
            <w:r>
              <w:t xml:space="preserve">One approval engine for any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Helper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inventory.services.get_default_warehouse_for_mda()</w:t>
            </w:r>
          </w:p>
        </w:tc>
        <w:tc>
          <w:tcPr/>
          <w:p>
            <w:pPr>
              <w:pStyle w:val="Compact"/>
            </w:pPr>
            <w:r>
              <w:t xml:space="preserve">Cross-module lookup without circular import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4" w:name="tenants-module"/>
    <w:p>
      <w:pPr>
        <w:pStyle w:val="Heading2"/>
      </w:pPr>
      <w:r>
        <w:t xml:space="preserve">3. Tenants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Multi-tenant bootstrap. Each Nigerian state government (or MDA)</w:t>
      </w:r>
      <w:r>
        <w:t xml:space="preserve"> </w:t>
      </w:r>
      <w:r>
        <w:t xml:space="preserve">gets its own PostgreSQL schema.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rows in the public schema describe</w:t>
      </w:r>
      <w:r>
        <w:t xml:space="preserve"> </w:t>
      </w:r>
      <w:r>
        <w:t xml:space="preserve">each tenant;</w:t>
      </w:r>
      <w:r>
        <w:t xml:space="preserve"> </w:t>
      </w:r>
      <w:r>
        <w:rPr>
          <w:rStyle w:val="VerbatimChar"/>
        </w:rPr>
        <w:t xml:space="preserve">django-tenants</w:t>
      </w:r>
      <w:r>
        <w:t xml:space="preserve"> </w:t>
      </w:r>
      <w:r>
        <w:t xml:space="preserve">middleware routes requests to the right schema.</w:t>
      </w:r>
    </w:p>
    <w:bookmarkStart w:id="18" w:name="key-models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tenants/models.py:61</w:t>
            </w:r>
          </w:p>
        </w:tc>
        <w:tc>
          <w:tcPr/>
          <w:p>
            <w:pPr>
              <w:pStyle w:val="Compact"/>
            </w:pPr>
            <w:r>
              <w:t xml:space="preserve">Tenant root — schema name, branding, feature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tenants/models.py:257</w:t>
            </w:r>
          </w:p>
        </w:tc>
        <w:tc>
          <w:tcPr/>
          <w:p>
            <w:pPr>
              <w:pStyle w:val="Compact"/>
            </w:pPr>
            <w:r>
              <w:t xml:space="preserve">Hostnames mapping to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tenants/models.py:278</w:t>
            </w:r>
          </w:p>
        </w:tc>
        <w:tc>
          <w:tcPr/>
          <w:p>
            <w:pPr>
              <w:pStyle w:val="Compact"/>
            </w:pPr>
            <w:r>
              <w:t xml:space="preserve">Per-tenant feature toggles (HR, contracts,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tenants/models.py:378</w:t>
            </w:r>
          </w:p>
        </w:tc>
        <w:tc>
          <w:tcPr/>
          <w:p>
            <w:pPr>
              <w:pStyle w:val="Compact"/>
            </w:pPr>
            <w:r>
              <w:t xml:space="preserve">Plan / billing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UserTenantRole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tenants/models.py:408</w:t>
            </w:r>
          </w:p>
        </w:tc>
        <w:tc>
          <w:tcPr/>
          <w:p>
            <w:pPr>
              <w:pStyle w:val="Compact"/>
            </w:pPr>
            <w:r>
              <w:t xml:space="preserve">User ↔ tenant ↔ role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tenants/models.py:307</w:t>
            </w:r>
          </w:p>
        </w:tc>
        <w:tc>
          <w:tcPr/>
          <w:p>
            <w:pPr>
              <w:pStyle w:val="Compact"/>
            </w:pPr>
            <w:r>
              <w:t xml:space="preserve">Pricing tier definitions</w:t>
            </w:r>
          </w:p>
        </w:tc>
      </w:tr>
    </w:tbl>
    <w:bookmarkEnd w:id="18"/>
    <w:bookmarkStart w:id="22" w:name="process-flow"/>
    <w:p>
      <w:pPr>
        <w:pStyle w:val="Heading3"/>
      </w:pPr>
      <w:r>
        <w:t xml:space="preserve">Process flow</w:t>
      </w:r>
    </w:p>
    <w:p>
      <w:pPr>
        <w:pStyle w:val="FirstParagraph"/>
      </w:pPr>
      <w:r>
        <w:drawing>
          <wp:inline>
            <wp:extent cx="5334000" cy="1125657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iagram-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56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UserTenantRole</w:t>
      </w:r>
      <w:r>
        <w:t xml:space="preserve"> </w:t>
      </w:r>
      <w:r>
        <w:t xml:space="preserve">save/delete fires</w:t>
      </w:r>
      <w:r>
        <w:t xml:space="preserve"> </w:t>
      </w:r>
      <w:r>
        <w:rPr>
          <w:rStyle w:val="VerbatimChar"/>
        </w:rPr>
        <w:t xml:space="preserve">core.permissions.invalidate_permission_cache()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core.cache_utils.invalidate_access_cache()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TenantSubscription</w:t>
      </w:r>
      <w:r>
        <w:t xml:space="preserve"> </w:t>
      </w:r>
      <w:r>
        <w:t xml:space="preserve">save fires</w:t>
      </w:r>
      <w:r>
        <w:t xml:space="preserve"> </w:t>
      </w:r>
      <w:r>
        <w:rPr>
          <w:rStyle w:val="VerbatimChar"/>
        </w:rPr>
        <w:t xml:space="preserve">core.cache_utils.invalidate_subscription_cache()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In:</w:t>
      </w:r>
      <w:r>
        <w:t xml:space="preserve"> </w:t>
      </w:r>
      <w:r>
        <w:rPr>
          <w:rStyle w:val="VerbatimChar"/>
        </w:rPr>
        <w:t xml:space="preserve">budget.services._is_warrant_enforced()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connection.tenant.enforce_warrant</w:t>
      </w:r>
      <w:r>
        <w:t xml:space="preserve"> </w:t>
      </w:r>
      <w:r>
        <w:t xml:space="preserve">at posting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In:</w:t>
      </w:r>
      <w:r>
        <w:t xml:space="preserve"> </w:t>
      </w:r>
      <w:r>
        <w:t xml:space="preserve">Every request:</w:t>
      </w:r>
      <w:r>
        <w:t xml:space="preserve"> </w:t>
      </w:r>
      <w:r>
        <w:rPr>
          <w:rStyle w:val="VerbatimChar"/>
        </w:rPr>
        <w:t xml:space="preserve">django-tenants</w:t>
      </w:r>
      <w:r>
        <w:t xml:space="preserve"> </w:t>
      </w:r>
      <w:r>
        <w:t xml:space="preserve">middleware sets</w:t>
      </w:r>
      <w:r>
        <w:t xml:space="preserve"> </w:t>
      </w:r>
      <w:r>
        <w:rPr>
          <w:rStyle w:val="VerbatimChar"/>
        </w:rPr>
        <w:t xml:space="preserve">connection.tenant</w:t>
      </w:r>
      <w:r>
        <w:t xml:space="preserve"> </w:t>
      </w:r>
      <w:r>
        <w:t xml:space="preserve">from the hostname; all per-tenant ORM operations rely on this.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core-module"/>
    <w:p>
      <w:pPr>
        <w:pStyle w:val="Heading2"/>
      </w:pPr>
      <w:r>
        <w:t xml:space="preserve">4. Core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Pure infrastructure — base model mixins, RBAC, audit log, MFA,</w:t>
      </w:r>
      <w:r>
        <w:t xml:space="preserve"> </w:t>
      </w:r>
      <w:r>
        <w:t xml:space="preserve">session management, and cross-cutting utilities.</w:t>
      </w:r>
      <w:r>
        <w:t xml:space="preserve"> </w:t>
      </w:r>
      <w:r>
        <w:rPr>
          <w:b/>
          <w:bCs/>
        </w:rPr>
        <w:t xml:space="preserve">No domain business logic.</w:t>
      </w:r>
    </w:p>
    <w:bookmarkStart w:id="25" w:name="key-abstractions"/>
    <w:p>
      <w:pPr>
        <w:pStyle w:val="Heading3"/>
      </w:pPr>
      <w:r>
        <w:t xml:space="preserve">Key abstractions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AuditBaseModel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  <w:r>
              <w:t xml:space="preserve"> </w:t>
            </w:r>
            <w:r>
              <w:t xml:space="preserve">on every domain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StatusTransitionMixin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core/models.py:86</w:t>
            </w:r>
          </w:p>
        </w:tc>
        <w:tc>
          <w:tcPr/>
          <w:p>
            <w:pPr>
              <w:pStyle w:val="Compact"/>
            </w:pPr>
            <w:r>
              <w:t xml:space="preserve">Declarative</w:t>
            </w:r>
            <w:r>
              <w:t xml:space="preserve"> </w:t>
            </w:r>
            <w:r>
              <w:rPr>
                <w:rStyle w:val="VerbatimChar"/>
              </w:rPr>
              <w:t xml:space="preserve">ALLOWED_TRANSITIONS</w:t>
            </w:r>
            <w:r>
              <w:t xml:space="preserve"> </w:t>
            </w:r>
            <w:r>
              <w:t xml:space="preserve">dict; gate at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ImmutableModelMixin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core/models.py:48</w:t>
            </w:r>
          </w:p>
        </w:tc>
        <w:tc>
          <w:tcPr/>
          <w:p>
            <w:pPr>
              <w:pStyle w:val="Compact"/>
            </w:pPr>
            <w:r>
              <w:t xml:space="preserve">Block field edits once a record is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core/models.py:118</w:t>
            </w:r>
          </w:p>
        </w:tc>
        <w:tc>
          <w:tcPr/>
          <w:p>
            <w:pPr>
              <w:pStyle w:val="Compact"/>
            </w:pPr>
            <w:r>
              <w:t xml:space="preserve">Append-only audit trail (who-did-what-when)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RoleAssignment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core/models.py:476 / 610</w:t>
            </w:r>
          </w:p>
        </w:tc>
        <w:tc>
          <w:tcPr/>
          <w:p>
            <w:pPr>
              <w:pStyle w:val="Compact"/>
            </w:pPr>
            <w:r>
              <w:t xml:space="preserve">RBAC primitives — used by every module’s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core/models.py:929</w:t>
            </w:r>
          </w:p>
        </w:tc>
        <w:tc>
          <w:tcPr/>
          <w:p>
            <w:pPr>
              <w:pStyle w:val="Compact"/>
            </w:pPr>
            <w:r>
              <w:t xml:space="preserve">Optional org structure for non-government tenants</w:t>
            </w:r>
          </w:p>
        </w:tc>
      </w:tr>
    </w:tbl>
    <w:bookmarkEnd w:id="25"/>
    <w:bookmarkStart w:id="29" w:name="process-flow-1"/>
    <w:p>
      <w:pPr>
        <w:pStyle w:val="Heading3"/>
      </w:pPr>
      <w:r>
        <w:t xml:space="preserve">Process flow</w:t>
      </w:r>
    </w:p>
    <w:p>
      <w:pPr>
        <w:pStyle w:val="FirstParagraph"/>
      </w:pPr>
      <w:r>
        <w:t xml:space="preserve">Core has no state machine of its own — it provides building blocks.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every domain module follows:</w:t>
      </w:r>
    </w:p>
    <w:p>
      <w:pPr>
        <w:pStyle w:val="BodyText"/>
      </w:pPr>
      <w:r>
        <w:drawing>
          <wp:inline>
            <wp:extent cx="5334000" cy="271531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iagram-0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integration-points-1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Out:</w:t>
      </w:r>
      <w:r>
        <w:t xml:space="preserve"> </w:t>
      </w:r>
      <w:r>
        <w:t xml:space="preserve">None — leaf dependency.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In:</w:t>
      </w:r>
      <w:r>
        <w:t xml:space="preserve"> </w:t>
      </w:r>
      <w:r>
        <w:t xml:space="preserve">Every domain module imports from</w:t>
      </w:r>
      <w:r>
        <w:t xml:space="preserve"> </w:t>
      </w:r>
      <w:r>
        <w:rPr>
          <w:rStyle w:val="VerbatimChar"/>
        </w:rPr>
        <w:t xml:space="preserve">core</w:t>
      </w:r>
      <w:r>
        <w:t xml:space="preserve">.</w:t>
      </w:r>
      <w:r>
        <w:t xml:space="preserve"> </w:t>
      </w:r>
      <w:r>
        <w:rPr>
          <w:rStyle w:val="VerbatimChar"/>
        </w:rPr>
        <w:t xml:space="preserve">accounting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hrm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all inherit</w:t>
      </w:r>
      <w:r>
        <w:t xml:space="preserve"> </w:t>
      </w:r>
      <w:r>
        <w:rPr>
          <w:rStyle w:val="VerbatimChar"/>
        </w:rPr>
        <w:t xml:space="preserve">AuditBaseModel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StatusTransitionMixin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ImmutableModelMixin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superadmin-module"/>
    <w:p>
      <w:pPr>
        <w:pStyle w:val="Heading2"/>
      </w:pPr>
      <w:r>
        <w:t xml:space="preserve">5. Superadmin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Platform-operator (SaaS) layer. Manages tenants, subscriptions,</w:t>
      </w:r>
      <w:r>
        <w:t xml:space="preserve"> </w:t>
      </w:r>
      <w:r>
        <w:t xml:space="preserve">support tickets, email templates, webhooks, referral commissions, and</w:t>
      </w:r>
      <w:r>
        <w:t xml:space="preserve"> </w:t>
      </w:r>
      <w:r>
        <w:t xml:space="preserve">global announcements. Lives in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schema.</w:t>
      </w:r>
    </w:p>
    <w:bookmarkStart w:id="32" w:name="key-models-1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superadmin/models.py:14</w:t>
            </w:r>
          </w:p>
        </w:tc>
        <w:tc>
          <w:tcPr/>
          <w:p>
            <w:pPr>
              <w:pStyle w:val="Compact"/>
            </w:pPr>
            <w:r>
              <w:t xml:space="preserve">Platform staff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ImpersonationLog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superadmin/models.py:144</w:t>
            </w:r>
          </w:p>
        </w:tc>
        <w:tc>
          <w:tcPr/>
          <w:p>
            <w:pPr>
              <w:pStyle w:val="Compact"/>
            </w:pPr>
            <w:r>
              <w:t xml:space="preserve">Audit trail when staff</w:t>
            </w:r>
            <w:r>
              <w:t xml:space="preserve"> </w:t>
            </w:r>
            <w:r>
              <w:t xml:space="preserve">“log in as”</w:t>
            </w:r>
            <w:r>
              <w:t xml:space="preserve"> </w:t>
            </w:r>
            <w:r>
              <w:t xml:space="preserve">tenant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superadmin/models.py:220 / 248</w:t>
            </w:r>
          </w:p>
        </w:tc>
        <w:tc>
          <w:tcPr/>
          <w:p>
            <w:pPr>
              <w:pStyle w:val="Compact"/>
            </w:pPr>
            <w:r>
              <w:t xml:space="preserve">Partner / referral payouts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superadmin/models.py:331</w:t>
            </w:r>
          </w:p>
        </w:tc>
        <w:tc>
          <w:tcPr/>
          <w:p>
            <w:pPr>
              <w:pStyle w:val="Compact"/>
            </w:pPr>
            <w:r>
              <w:t xml:space="preserve">Inbound support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WebhookDelivery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superadmin/models.py:590 / 631</w:t>
            </w:r>
          </w:p>
        </w:tc>
        <w:tc>
          <w:tcPr/>
          <w:p>
            <w:pPr>
              <w:pStyle w:val="Compact"/>
            </w:pPr>
            <w:r>
              <w:t xml:space="preserve">Outbound webhook + retry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superadmin/models.py:79</w:t>
            </w:r>
          </w:p>
        </w:tc>
        <w:tc>
          <w:tcPr/>
          <w:p>
            <w:pPr>
              <w:pStyle w:val="Compact"/>
            </w:pPr>
            <w:r>
              <w:t xml:space="preserve">Multi-language editable templates</w:t>
            </w:r>
          </w:p>
        </w:tc>
      </w:tr>
    </w:tbl>
    <w:bookmarkEnd w:id="32"/>
    <w:bookmarkStart w:id="36" w:name="process-flow-typical-operator-workflow"/>
    <w:p>
      <w:pPr>
        <w:pStyle w:val="Heading3"/>
      </w:pPr>
      <w:r>
        <w:t xml:space="preserve">Process flow — typical operator workflow</w:t>
      </w:r>
    </w:p>
    <w:p>
      <w:pPr>
        <w:pStyle w:val="FirstParagraph"/>
      </w:pPr>
      <w:r>
        <w:drawing>
          <wp:inline>
            <wp:extent cx="5334000" cy="996757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iagram-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6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integration-points-2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4"/>
        </w:numPr>
      </w:pPr>
      <w:r>
        <w:t xml:space="preserve">Largely self-contained at the public schema. Reads</w:t>
      </w:r>
      <w:r>
        <w:t xml:space="preserve"> </w:t>
      </w:r>
      <w:r>
        <w:rPr>
          <w:rStyle w:val="VerbatimChar"/>
        </w:rPr>
        <w:t xml:space="preserve">tenants.Client</w:t>
      </w:r>
      <w:r>
        <w:t xml:space="preserve"> </w:t>
      </w:r>
      <w:r>
        <w:t xml:space="preserve">for</w:t>
      </w:r>
      <w:r>
        <w:t xml:space="preserve"> </w:t>
      </w:r>
      <w:r>
        <w:t xml:space="preserve">impersonation and subscription reporting.</w:t>
      </w:r>
    </w:p>
    <w:p>
      <w:pPr>
        <w:pStyle w:val="Compact"/>
        <w:numPr>
          <w:ilvl w:val="0"/>
          <w:numId w:val="1004"/>
        </w:numPr>
      </w:pPr>
      <w:r>
        <w:t xml:space="preserve">No inbound module dependencies (per-tenant modules don’t reach into</w:t>
      </w:r>
      <w:r>
        <w:t xml:space="preserve"> </w:t>
      </w:r>
      <w:r>
        <w:t xml:space="preserve">superadmin).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3" w:name="budget-module"/>
    <w:p>
      <w:pPr>
        <w:pStyle w:val="Heading2"/>
      </w:pPr>
      <w:r>
        <w:t xml:space="preserve">6. Budget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Nigerian IFMIS budget lifecycle — annual appropriation enacted by</w:t>
      </w:r>
      <w:r>
        <w:t xml:space="preserve"> </w:t>
      </w:r>
      <w:r>
        <w:t xml:space="preserve">the State House of Assembly, then released in tranches as Warrants (AIE —</w:t>
      </w:r>
      <w:r>
        <w:t xml:space="preserve"> </w:t>
      </w:r>
      <w:r>
        <w:t xml:space="preserve">Authority to Incur Expenditure). Enforces spending gates against the</w:t>
      </w:r>
      <w:r>
        <w:t xml:space="preserve"> </w:t>
      </w:r>
      <w:r>
        <w:t xml:space="preserve">Appropriation register.</w:t>
      </w:r>
    </w:p>
    <w:bookmarkStart w:id="39" w:name="key-models-2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budget/models.py:29</w:t>
            </w:r>
          </w:p>
        </w:tc>
        <w:tc>
          <w:tcPr/>
          <w:p>
            <w:pPr>
              <w:pStyle w:val="Compact"/>
            </w:pPr>
            <w:r>
              <w:t xml:space="preserve">Logical budget container — wraps Appropriation, Revenue, Virement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Appropriation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budget/models.py:660</w:t>
            </w:r>
          </w:p>
        </w:tc>
        <w:tc>
          <w:tcPr/>
          <w:p>
            <w:pPr>
              <w:pStyle w:val="Compact"/>
            </w:pPr>
            <w:r>
              <w:t xml:space="preserve">The legal spending authority for one (MDA × economic × fund × FY) tuple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Warrant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budget/models.py:1223</w:t>
            </w:r>
          </w:p>
        </w:tc>
        <w:tc>
          <w:tcPr/>
          <w:p>
            <w:pPr>
              <w:pStyle w:val="Compact"/>
            </w:pPr>
            <w:r>
              <w:t xml:space="preserve">AIE — releases cash within</w:t>
            </w:r>
            <w:r>
              <w:t xml:space="preserve"> </w:t>
            </w:r>
            <w:r>
              <w:rPr>
                <w:rStyle w:val="VerbatimChar"/>
              </w:rPr>
              <w:t xml:space="preserve">[effective_from, effective_to]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AppropriationVirement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budget/models.py:1521</w:t>
            </w:r>
          </w:p>
        </w:tc>
        <w:tc>
          <w:tcPr/>
          <w:p>
            <w:pPr>
              <w:pStyle w:val="Compact"/>
            </w:pPr>
            <w:r>
              <w:t xml:space="preserve">Reallocation between appropriation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RevenueBudget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budget/models.py:1432</w:t>
            </w:r>
          </w:p>
        </w:tc>
        <w:tc>
          <w:tcPr/>
          <w:p>
            <w:pPr>
              <w:pStyle w:val="Compact"/>
            </w:pPr>
            <w:r>
              <w:t xml:space="preserve">Revenue targets (separate from expenditure budget)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WarrantPrintoutSettings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budget/models.py</w:t>
            </w:r>
          </w:p>
        </w:tc>
        <w:tc>
          <w:tcPr/>
          <w:p>
            <w:pPr>
              <w:pStyle w:val="Compact"/>
            </w:pPr>
            <w:r>
              <w:t xml:space="preserve">Tenant-wide letterhead/signatures config for printed AIEs</w:t>
            </w:r>
          </w:p>
        </w:tc>
      </w:tr>
    </w:tbl>
    <w:bookmarkEnd w:id="39"/>
    <w:bookmarkStart w:id="43" w:name="process-flow-appropriation"/>
    <w:p>
      <w:pPr>
        <w:pStyle w:val="Heading3"/>
      </w:pPr>
      <w:r>
        <w:t xml:space="preserve">Process flow — Appropriation</w:t>
      </w:r>
    </w:p>
    <w:p>
      <w:pPr>
        <w:pStyle w:val="FirstParagraph"/>
      </w:pPr>
      <w:r>
        <w:drawing>
          <wp:inline>
            <wp:extent cx="5334000" cy="1263981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iagram-0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process-flow-warrant-aie"/>
    <w:p>
      <w:pPr>
        <w:pStyle w:val="Heading3"/>
      </w:pPr>
      <w:r>
        <w:t xml:space="preserve">Process flow — Warrant (AIE)</w:t>
      </w:r>
    </w:p>
    <w:p>
      <w:pPr>
        <w:pStyle w:val="FirstParagraph"/>
      </w:pPr>
      <w:r>
        <w:drawing>
          <wp:inline>
            <wp:extent cx="5334000" cy="611988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iagram-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9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process-flow-spend-authorisation"/>
    <w:p>
      <w:pPr>
        <w:pStyle w:val="Heading3"/>
      </w:pPr>
      <w:r>
        <w:t xml:space="preserve">Process flow — spend authorisation</w:t>
      </w:r>
    </w:p>
    <w:p>
      <w:pPr>
        <w:pStyle w:val="FirstParagraph"/>
      </w:pPr>
      <w:r>
        <w:drawing>
          <wp:inline>
            <wp:extent cx="5334000" cy="1205375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iagram-0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5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integration-points-3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budget.services.BudgetValidationService.validate_expenditure()</w:t>
      </w:r>
      <w:r>
        <w:t xml:space="preserve"> </w:t>
      </w:r>
      <w:r>
        <w:t xml:space="preserve">— called by accounting, procurement, contracts before any expenditure.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_is_warrant_enforced()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tenants.Client.enforce_warrant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In:</w:t>
      </w:r>
      <w:r>
        <w:t xml:space="preserve"> </w:t>
      </w:r>
      <w:r>
        <w:rPr>
          <w:rStyle w:val="VerbatimChar"/>
        </w:rPr>
        <w:t xml:space="preserve">accounting.signals.budget_enforcement.pre_save(JournalHeader)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check_policy()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check_warrant_availability()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In:</w:t>
      </w:r>
      <w:r>
        <w:t xml:space="preserve"> </w:t>
      </w:r>
      <w:r>
        <w:rPr>
          <w:rStyle w:val="VerbatimChar"/>
        </w:rPr>
        <w:t xml:space="preserve">accounting.signals.budget_enforcement.post_save(JournalHeader)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appropriation_totals.refresh_totals(appropriation)</w:t>
      </w:r>
      <w:r>
        <w:t xml:space="preserve"> </w:t>
      </w:r>
      <w:r>
        <w:t xml:space="preserve">to keep</w:t>
      </w:r>
      <w:r>
        <w:t xml:space="preserve"> </w:t>
      </w:r>
      <w:r>
        <w:rPr>
          <w:rStyle w:val="VerbatimChar"/>
        </w:rPr>
        <w:t xml:space="preserve">cached_total_committed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cached_total_expended</w:t>
      </w:r>
      <w:r>
        <w:t xml:space="preserve"> </w:t>
      </w:r>
      <w:r>
        <w:t xml:space="preserve">fresh.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In:</w:t>
      </w:r>
      <w:r>
        <w:t xml:space="preserve"> </w:t>
      </w:r>
      <w:r>
        <w:rPr>
          <w:rStyle w:val="VerbatimChar"/>
        </w:rPr>
        <w:t xml:space="preserve">procurement.PurchaseRequest.validate_budget()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PurchaseOrder.process_budget_encumbrance()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accounting.services.budget_check_rules.check_policy()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In:</w:t>
      </w:r>
      <w:r>
        <w:t xml:space="preserve"> </w:t>
      </w:r>
      <w:r>
        <w:rPr>
          <w:rStyle w:val="VerbatimChar"/>
        </w:rPr>
        <w:t xml:space="preserve">contracts.IPCService._enforce_appropriation_gate()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check_policy()</w:t>
      </w:r>
      <w:r>
        <w:t xml:space="preserve"> </w:t>
      </w:r>
      <w:r>
        <w:t xml:space="preserve">before posting the IPC accrual journal.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8" w:name="accounting-module"/>
    <w:p>
      <w:pPr>
        <w:pStyle w:val="Heading2"/>
      </w:pPr>
      <w:r>
        <w:t xml:space="preserve">7. Accounting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Single source of truth for the General Ledger. Implements the</w:t>
      </w:r>
      <w:r>
        <w:t xml:space="preserve"> </w:t>
      </w:r>
      <w:r>
        <w:t xml:space="preserve">6-segment Nigerian Chart of Accounts (NCoA), IPSAS-accrual journal engine,</w:t>
      </w:r>
      <w:r>
        <w:t xml:space="preserve"> </w:t>
      </w:r>
      <w:r>
        <w:t xml:space="preserve">TSA / treasury cash management, fixed assets, payroll posting (delegated</w:t>
      </w:r>
      <w:r>
        <w:t xml:space="preserve"> </w:t>
      </w:r>
      <w:r>
        <w:t xml:space="preserve">target), tax / WHT, period close, and statutory reporting.</w:t>
      </w:r>
    </w:p>
    <w:bookmarkStart w:id="54" w:name="key-models-3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JournalHeader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JournalLine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accounting/models/gl.py:263</w:t>
            </w:r>
          </w:p>
        </w:tc>
        <w:tc>
          <w:tcPr/>
          <w:p>
            <w:pPr>
              <w:pStyle w:val="Compact"/>
            </w:pPr>
            <w:r>
              <w:t xml:space="preserve">The GL — DR=CR 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accounting/models/gl.py:128</w:t>
            </w:r>
          </w:p>
        </w:tc>
        <w:tc>
          <w:tcPr/>
          <w:p>
            <w:pPr>
              <w:pStyle w:val="Compact"/>
            </w:pPr>
            <w:r>
              <w:t xml:space="preserve">Chart of Accounts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NCoACode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accounting/models/ncoa.py:389</w:t>
            </w:r>
          </w:p>
        </w:tc>
        <w:tc>
          <w:tcPr/>
          <w:p>
            <w:pPr>
              <w:pStyle w:val="Compact"/>
            </w:pPr>
            <w:r>
              <w:t xml:space="preserve">6-segment classification (admin, economic, functional, programme, fund, geo)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PaymentVoucherGov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accounting/models/treasury.py:124</w:t>
            </w:r>
          </w:p>
        </w:tc>
        <w:tc>
          <w:tcPr/>
          <w:p>
            <w:pPr>
              <w:pStyle w:val="Compact"/>
            </w:pPr>
            <w:r>
              <w:t xml:space="preserve">Government payment voucher — primary cash-out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TreasuryAccount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accounting/models/treasury.py:16</w:t>
            </w:r>
          </w:p>
        </w:tc>
        <w:tc>
          <w:tcPr/>
          <w:p>
            <w:pPr>
              <w:pStyle w:val="Compact"/>
            </w:pPr>
            <w:r>
              <w:t xml:space="preserve">TSA hierarchy (Main, Sub-Account, Zero-Balance)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PaymentInstruction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accounting/models/treasury.py:308</w:t>
            </w:r>
          </w:p>
        </w:tc>
        <w:tc>
          <w:tcPr/>
          <w:p>
            <w:pPr>
              <w:pStyle w:val="Compact"/>
            </w:pPr>
            <w:r>
              <w:t xml:space="preserve">Bank-bound instruction (NIBSS / RTGS)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BudgetCheckRule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accounting/models/...</w:t>
            </w:r>
          </w:p>
        </w:tc>
        <w:tc>
          <w:tcPr/>
          <w:p>
            <w:pPr>
              <w:pStyle w:val="Compact"/>
            </w:pPr>
            <w:r>
              <w:t xml:space="preserve">Per-account policy: STRICT / WARNING / NONE</w:t>
            </w:r>
          </w:p>
        </w:tc>
      </w:tr>
    </w:tbl>
    <w:bookmarkEnd w:id="54"/>
    <w:bookmarkStart w:id="58" w:name="process-flow-journal-header"/>
    <w:p>
      <w:pPr>
        <w:pStyle w:val="Heading3"/>
      </w:pPr>
      <w:r>
        <w:t xml:space="preserve">Process flow — Journal Header</w:t>
      </w:r>
    </w:p>
    <w:p>
      <w:pPr>
        <w:pStyle w:val="FirstParagraph"/>
      </w:pPr>
      <w:r>
        <w:drawing>
          <wp:inline>
            <wp:extent cx="5334000" cy="1131966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iagram-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1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process-flow-payment-voucher-pv"/>
    <w:p>
      <w:pPr>
        <w:pStyle w:val="Heading3"/>
      </w:pPr>
      <w:r>
        <w:t xml:space="preserve">Process flow — Payment Voucher (PV)</w:t>
      </w:r>
    </w:p>
    <w:p>
      <w:pPr>
        <w:pStyle w:val="FirstParagraph"/>
      </w:pPr>
      <w:r>
        <w:drawing>
          <wp:inline>
            <wp:extent cx="5334000" cy="14224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iagram-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process-flow-ipsas-journal-posting"/>
    <w:p>
      <w:pPr>
        <w:pStyle w:val="Heading3"/>
      </w:pPr>
      <w:r>
        <w:t xml:space="preserve">Process flow — IPSAS journal posting</w:t>
      </w:r>
    </w:p>
    <w:p>
      <w:pPr>
        <w:pStyle w:val="FirstParagraph"/>
      </w:pPr>
      <w:r>
        <w:drawing>
          <wp:inline>
            <wp:extent cx="5334000" cy="411661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iagram-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6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integration-points-4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accounting/signals/budget_enforcement.py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budget.models.Appropriation</w:t>
      </w:r>
      <w:r>
        <w:t xml:space="preserve"> </w:t>
      </w:r>
      <w:r>
        <w:t xml:space="preserve">(refresh totals).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accounting/signals/coa_to_ncoa.py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save → upserts</w:t>
      </w:r>
      <w:r>
        <w:t xml:space="preserve"> </w:t>
      </w:r>
      <w:r>
        <w:rPr>
          <w:rStyle w:val="VerbatimChar"/>
        </w:rPr>
        <w:t xml:space="preserve">NCoACode / EconomicSegment</w:t>
      </w:r>
      <w:r>
        <w:t xml:space="preserve"> </w:t>
      </w:r>
      <w:r>
        <w:t xml:space="preserve">(internal CoA ↔ NCoA mirror).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(procurement):</w:t>
      </w:r>
      <w:r>
        <w:t xml:space="preserve"> </w:t>
      </w:r>
      <w:r>
        <w:rPr>
          <w:rStyle w:val="VerbatimChar"/>
        </w:rPr>
        <w:t xml:space="preserve">ProcurementPostingService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create_commitment_for_po()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mark_commitment_invoiced_for_po()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_post_matching_to_gl_inner()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(contracts):</w:t>
      </w:r>
      <w:r>
        <w:t xml:space="preserve"> </w:t>
      </w:r>
      <w:r>
        <w:rPr>
          <w:rStyle w:val="VerbatimChar"/>
        </w:rPr>
        <w:t xml:space="preserve">IPSASJournalService.post_journal()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IPCService.approve()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PaymentVoucherGov.objects.create()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IPCService.create_draft_voucher()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(hrm):</w:t>
      </w:r>
      <w:r>
        <w:t xml:space="preserve"> </w:t>
      </w:r>
      <w:r>
        <w:rPr>
          <w:rStyle w:val="VerbatimChar"/>
        </w:rPr>
        <w:t xml:space="preserve">PayrollPostingService.post_payroll_run()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PayrollRun.save()</w:t>
      </w:r>
      <w:r>
        <w:t xml:space="preserve"> </w:t>
      </w:r>
      <w:r>
        <w:t xml:space="preserve">on Approved.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(inventory):</w:t>
      </w:r>
      <w:r>
        <w:t xml:space="preserve"> </w:t>
      </w:r>
      <w:r>
        <w:rPr>
          <w:rStyle w:val="VerbatimChar"/>
        </w:rPr>
        <w:t xml:space="preserve">InventoryPostingService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create.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procurement-module"/>
    <w:p>
      <w:pPr>
        <w:pStyle w:val="Heading2"/>
      </w:pPr>
      <w:r>
        <w:t xml:space="preserve">8. Procurement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Procurement-to-payment (P2P) cycle. Vendor registry, purchase</w:t>
      </w:r>
      <w:r>
        <w:t xml:space="preserve"> </w:t>
      </w:r>
      <w:r>
        <w:t xml:space="preserve">requests, purchase orders with budget commitment, goods received notes,</w:t>
      </w:r>
      <w:r>
        <w:t xml:space="preserve"> </w:t>
      </w:r>
      <w:r>
        <w:t xml:space="preserve">3-way invoice match, and vendor performance.</w:t>
      </w:r>
    </w:p>
    <w:bookmarkStart w:id="69" w:name="key-models-4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procurement/models.py:77</w:t>
            </w:r>
          </w:p>
        </w:tc>
        <w:tc>
          <w:tcPr/>
          <w:p>
            <w:pPr>
              <w:pStyle w:val="Compact"/>
            </w:pPr>
            <w:r>
              <w:t xml:space="preserve">Supplier master (with KYC, bank, tax IDs)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procurement/models.py:244</w:t>
            </w:r>
          </w:p>
        </w:tc>
        <w:tc>
          <w:tcPr/>
          <w:p>
            <w:pPr>
              <w:pStyle w:val="Compact"/>
            </w:pPr>
            <w:r>
              <w:t xml:space="preserve">Internal request — pre-PO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procurement/models.py:448</w:t>
            </w:r>
          </w:p>
        </w:tc>
        <w:tc>
          <w:tcPr/>
          <w:p>
            <w:pPr>
              <w:pStyle w:val="Compact"/>
            </w:pPr>
            <w:r>
              <w:t xml:space="preserve">Authorised order to vendor — budget commitment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GoodsReceivedNote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procurement/models.py:926</w:t>
            </w:r>
          </w:p>
        </w:tc>
        <w:tc>
          <w:tcPr/>
          <w:p>
            <w:pPr>
              <w:pStyle w:val="Compact"/>
            </w:pPr>
            <w:r>
              <w:t xml:space="preserve">Receipt confirmation — feeds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InvoiceMatching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procurement/models.py:1431</w:t>
            </w:r>
          </w:p>
        </w:tc>
        <w:tc>
          <w:tcPr/>
          <w:p>
            <w:pPr>
              <w:pStyle w:val="Compact"/>
            </w:pPr>
            <w:r>
              <w:t xml:space="preserve">3-way match: PO ↔ GRN ↔ Vendor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ProcurementBudgetLink</w:t>
            </w:r>
          </w:p>
        </w:tc>
        <w:tc>
          <w:tcPr/>
          <w:p>
            <w:pPr>
              <w:pStyle w:val="Compact"/>
            </w:pPr>
            <w:r>
              <w:t xml:space="preserve">(in accounting models)</w:t>
            </w:r>
          </w:p>
        </w:tc>
        <w:tc>
          <w:tcPr/>
          <w:p>
            <w:pPr>
              <w:pStyle w:val="Compact"/>
            </w:pPr>
            <w:r>
              <w:t xml:space="preserve">Per-PO encumbrance row in Appropriation register</w:t>
            </w:r>
          </w:p>
        </w:tc>
      </w:tr>
    </w:tbl>
    <w:bookmarkEnd w:id="69"/>
    <w:bookmarkStart w:id="73" w:name="process-flow-full-p2p-cycle"/>
    <w:p>
      <w:pPr>
        <w:pStyle w:val="Heading3"/>
      </w:pPr>
      <w:r>
        <w:t xml:space="preserve">Process flow — full P2P cycle</w:t>
      </w:r>
    </w:p>
    <w:p>
      <w:pPr>
        <w:pStyle w:val="FirstParagraph"/>
      </w:pPr>
      <w:r>
        <w:drawing>
          <wp:inline>
            <wp:extent cx="5334000" cy="9101218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diagram-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0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7" w:name="process-flow-sequence-pr-payment"/>
    <w:p>
      <w:pPr>
        <w:pStyle w:val="Heading3"/>
      </w:pPr>
      <w:r>
        <w:t xml:space="preserve">Process flow — sequence (PR → Payment)</w:t>
      </w:r>
    </w:p>
    <w:p>
      <w:pPr>
        <w:pStyle w:val="FirstParagraph"/>
      </w:pPr>
      <w:r>
        <w:drawing>
          <wp:inline>
            <wp:extent cx="5334000" cy="261985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iagram-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integration-points-5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 (accounting):</w:t>
      </w:r>
      <w:r>
        <w:t xml:space="preserve"> </w:t>
      </w:r>
      <w:r>
        <w:rPr>
          <w:rStyle w:val="VerbatimChar"/>
        </w:rPr>
        <w:t xml:space="preserve">create_commitment_for_po()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mark_commitment_invoiced_for_po()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cancel_commitment_for_po()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IPSASJournalService.post_journal()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ProcurementPostingService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 (inventory):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created inline in</w:t>
      </w:r>
      <w:r>
        <w:t xml:space="preserve"> </w:t>
      </w:r>
      <w:r>
        <w:rPr>
          <w:rStyle w:val="VerbatimChar"/>
        </w:rPr>
        <w:t xml:space="preserve">GoodsReceivedNote.save()</w:t>
      </w:r>
      <w:r>
        <w:t xml:space="preserve">;</w:t>
      </w:r>
      <w:r>
        <w:t xml:space="preserve"> </w:t>
      </w:r>
      <w:r>
        <w:rPr>
          <w:rStyle w:val="VerbatimChar"/>
        </w:rPr>
        <w:t xml:space="preserve">inventory.services.get_default_warehouse_for_mda()</w:t>
      </w:r>
      <w:r>
        <w:t xml:space="preserve"> </w:t>
      </w:r>
      <w:r>
        <w:t xml:space="preserve">resolves MDA → Warehouse.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 (budget):</w:t>
      </w:r>
      <w:r>
        <w:t xml:space="preserve"> </w:t>
      </w:r>
      <w:r>
        <w:rPr>
          <w:rStyle w:val="VerbatimChar"/>
        </w:rPr>
        <w:t xml:space="preserve">PurchaseRequest.validate_budget()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PurchaseOrder.process_budget_encumbrance()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accounting.services.budget_check_rules.check_policy()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 (workflow):</w:t>
      </w:r>
      <w:r>
        <w:t xml:space="preserve"> </w:t>
      </w:r>
      <w:r>
        <w:rPr>
          <w:rStyle w:val="VerbatimChar"/>
        </w:rPr>
        <w:t xml:space="preserve">workflow.signals.document_approval_completed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procurement.signals.auto_post_invoicematching_on_approval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4" w:name="contracts-module"/>
    <w:p>
      <w:pPr>
        <w:pStyle w:val="Heading2"/>
      </w:pPr>
      <w:r>
        <w:t xml:space="preserve">9. Contracts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Capital / infrastructure contract management — activation,</w:t>
      </w:r>
      <w:r>
        <w:t xml:space="preserve"> </w:t>
      </w:r>
      <w:r>
        <w:t xml:space="preserve">milestones, measurement books, Interim Payment Certificates (IPCs) with</w:t>
      </w:r>
      <w:r>
        <w:t xml:space="preserve"> </w:t>
      </w:r>
      <w:r>
        <w:rPr>
          <w:b/>
          <w:bCs/>
        </w:rPr>
        <w:t xml:space="preserve">ten</w:t>
      </w:r>
      <w:r>
        <w:t xml:space="preserve"> </w:t>
      </w:r>
      <w:r>
        <w:t xml:space="preserve">structural overpayment-prevention controls, mobilisation advances,</w:t>
      </w:r>
      <w:r>
        <w:t xml:space="preserve"> </w:t>
      </w:r>
      <w:r>
        <w:t xml:space="preserve">retention holdback, and variations / write-ups.</w:t>
      </w:r>
    </w:p>
    <w:bookmarkStart w:id="80" w:name="key-models-5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contracts/models/contract.py:78</w:t>
            </w:r>
          </w:p>
        </w:tc>
        <w:tc>
          <w:tcPr/>
          <w:p>
            <w:pPr>
              <w:pStyle w:val="Compact"/>
            </w:pPr>
            <w:r>
              <w:t xml:space="preserve">Aggregate root — vendor, NCoA, fiscal year, ceiling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contracts/models/contract.py:324</w:t>
            </w:r>
          </w:p>
        </w:tc>
        <w:tc>
          <w:tcPr/>
          <w:p>
            <w:pPr>
              <w:pStyle w:val="Compact"/>
            </w:pPr>
            <w:r>
              <w:t xml:space="preserve">Real-time spending ledger (locked per IPC)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ContractYearPlan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contracts/models/year_plan.py</w:t>
            </w:r>
          </w:p>
        </w:tc>
        <w:tc>
          <w:tcPr/>
          <w:p>
            <w:pPr>
              <w:pStyle w:val="Compact"/>
            </w:pPr>
            <w:r>
              <w:t xml:space="preserve">Multi-year split — one row per fiscal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contracts/models/contract.py:465</w:t>
            </w:r>
          </w:p>
        </w:tc>
        <w:tc>
          <w:tcPr/>
          <w:p>
            <w:pPr>
              <w:pStyle w:val="Compact"/>
            </w:pPr>
            <w:r>
              <w:t xml:space="preserve">Deliverables + payment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MeasurementBook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contracts/models/payment.py:42</w:t>
            </w:r>
          </w:p>
        </w:tc>
        <w:tc>
          <w:tcPr/>
          <w:p>
            <w:pPr>
              <w:pStyle w:val="Compact"/>
            </w:pPr>
            <w:r>
              <w:t xml:space="preserve">On-site quantity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InterimPaymentCertificate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contracts/models/payment.py:161</w:t>
            </w:r>
          </w:p>
        </w:tc>
        <w:tc>
          <w:tcPr/>
          <w:p>
            <w:pPr>
              <w:pStyle w:val="Compact"/>
            </w:pPr>
            <w:r>
              <w:t xml:space="preserve">Periodic payment certificate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MobilizationPayment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contracts/models/payment.py:414</w:t>
            </w:r>
          </w:p>
        </w:tc>
        <w:tc>
          <w:tcPr/>
          <w:p>
            <w:pPr>
              <w:pStyle w:val="Compact"/>
            </w:pPr>
            <w:r>
              <w:t xml:space="preserve">Up-front advance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RetentionRelease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contracts/models/payment.py:470</w:t>
            </w:r>
          </w:p>
        </w:tc>
        <w:tc>
          <w:tcPr/>
          <w:p>
            <w:pPr>
              <w:pStyle w:val="Compact"/>
            </w:pPr>
            <w:r>
              <w:t xml:space="preserve">Practical / final retention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contracts/models/variation.py</w:t>
            </w:r>
          </w:p>
        </w:tc>
        <w:tc>
          <w:tcPr/>
          <w:p>
            <w:pPr>
              <w:pStyle w:val="Compact"/>
            </w:pPr>
            <w:r>
              <w:t xml:space="preserve">“Write-up”</w:t>
            </w:r>
            <w:r>
              <w:t xml:space="preserve"> </w:t>
            </w:r>
            <w:r>
              <w:t xml:space="preserve">— upward contract revision</w:t>
            </w:r>
          </w:p>
        </w:tc>
      </w:tr>
    </w:tbl>
    <w:bookmarkEnd w:id="80"/>
    <w:bookmarkStart w:id="84" w:name="process-flow-contract-lifecycle"/>
    <w:p>
      <w:pPr>
        <w:pStyle w:val="Heading3"/>
      </w:pPr>
      <w:r>
        <w:t xml:space="preserve">Process flow — Contract lifecycle</w:t>
      </w:r>
    </w:p>
    <w:p>
      <w:pPr>
        <w:pStyle w:val="FirstParagraph"/>
      </w:pPr>
      <w:r>
        <w:drawing>
          <wp:inline>
            <wp:extent cx="5334000" cy="19484196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iagram-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X1cf9ce58ec4e9e6f5160b09e77cd9cd2a77b5a0"/>
    <w:p>
      <w:pPr>
        <w:pStyle w:val="Heading3"/>
      </w:pPr>
      <w:r>
        <w:t xml:space="preserve">Process flow — IPC lifecycle (the 10-control engine)</w:t>
      </w:r>
    </w:p>
    <w:p>
      <w:pPr>
        <w:pStyle w:val="FirstParagraph"/>
      </w:pPr>
      <w:r>
        <w:drawing>
          <wp:inline>
            <wp:extent cx="5334000" cy="31158079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iagram-1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Ten structural controls (enforced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IPCService</w:t>
      </w:r>
      <w:r>
        <w:rPr>
          <w:b/>
          <w:bCs/>
        </w:rPr>
        <w:t xml:space="preserve">):</w:t>
      </w:r>
      <w:r>
        <w:t xml:space="preserve"> </w:t>
      </w:r>
      <w:r>
        <w:t xml:space="preserve">1. Ceiling — certified + pending ≤ contract_ceiling</w:t>
      </w:r>
      <w:r>
        <w:t xml:space="preserve"> </w:t>
      </w:r>
      <w:r>
        <w:t xml:space="preserve">2. Coherence — net_payable recomputed and reconciled</w:t>
      </w:r>
      <w:r>
        <w:t xml:space="preserve"> </w:t>
      </w:r>
      <w:r>
        <w:t xml:space="preserve">3. Monotonicity — cumulative work-done never decreases</w:t>
      </w:r>
      <w:r>
        <w:t xml:space="preserve"> </w:t>
      </w:r>
      <w:r>
        <w:t xml:space="preserve">4. Mobilization recovery — delegated to</w:t>
      </w:r>
      <w:r>
        <w:t xml:space="preserve"> </w:t>
      </w:r>
      <w:r>
        <w:rPr>
          <w:rStyle w:val="VerbatimChar"/>
        </w:rPr>
        <w:t xml:space="preserve">MobilizationService</w:t>
      </w:r>
      <w:r>
        <w:t xml:space="preserve"> </w:t>
      </w:r>
      <w:r>
        <w:t xml:space="preserve">5. Retention cap — delegated to</w:t>
      </w:r>
      <w:r>
        <w:t xml:space="preserve"> </w:t>
      </w:r>
      <w:r>
        <w:rPr>
          <w:rStyle w:val="VerbatimChar"/>
        </w:rPr>
        <w:t xml:space="preserve">RetentionService</w:t>
      </w:r>
      <w:r>
        <w:t xml:space="preserve"> </w:t>
      </w:r>
      <w:r>
        <w:t xml:space="preserve">6. Variation approval — only APPROVED variations count</w:t>
      </w:r>
      <w:r>
        <w:t xml:space="preserve"> </w:t>
      </w:r>
      <w:r>
        <w:t xml:space="preserve">7. Duplicate IPC —</w:t>
      </w:r>
      <w:r>
        <w:t xml:space="preserve"> </w:t>
      </w:r>
      <w:r>
        <w:rPr>
          <w:rStyle w:val="VerbatimChar"/>
        </w:rPr>
        <w:t xml:space="preserve">integrity_hash</w:t>
      </w:r>
      <w:r>
        <w:t xml:space="preserve"> </w:t>
      </w:r>
      <w:r>
        <w:t xml:space="preserve">uniqueness (DB partial index)</w:t>
      </w:r>
      <w:r>
        <w:t xml:space="preserve"> </w:t>
      </w:r>
      <w:r>
        <w:t xml:space="preserve">8. Fiscal-year boundary —</w:t>
      </w:r>
      <w:r>
        <w:t xml:space="preserve"> </w:t>
      </w:r>
      <w:r>
        <w:rPr>
          <w:rStyle w:val="VerbatimChar"/>
        </w:rPr>
        <w:t xml:space="preserve">posting_date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year_plan.fiscal_year</w:t>
      </w:r>
      <w:r>
        <w:t xml:space="preserve"> </w:t>
      </w:r>
      <w:r>
        <w:t xml:space="preserve">9. Three-way match — IPC ↔ MeasurementBook ↔ PaymentVoucher</w:t>
      </w:r>
      <w:r>
        <w:t xml:space="preserve"> </w:t>
      </w:r>
      <w:r>
        <w:t xml:space="preserve">10. Segregation of Duties — submitter ≠ certifier ≠ approver ≠ voucher-raiser ≠ payer</w:t>
      </w:r>
    </w:p>
    <w:bookmarkEnd w:id="88"/>
    <w:bookmarkStart w:id="92" w:name="process-flow-ipc-approval-sequence"/>
    <w:p>
      <w:pPr>
        <w:pStyle w:val="Heading3"/>
      </w:pPr>
      <w:r>
        <w:t xml:space="preserve">Process flow — IPC approval sequence</w:t>
      </w:r>
    </w:p>
    <w:p>
      <w:pPr>
        <w:pStyle w:val="FirstParagraph"/>
      </w:pPr>
      <w:r>
        <w:drawing>
          <wp:inline>
            <wp:extent cx="5334000" cy="3047518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iagram-1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7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integration-points-6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 (accounting):</w:t>
      </w:r>
      <w:r>
        <w:t xml:space="preserve"> </w:t>
      </w:r>
      <w:r>
        <w:rPr>
          <w:rStyle w:val="VerbatimChar"/>
        </w:rPr>
        <w:t xml:space="preserve">IPSASJournalService.post_journal()</w:t>
      </w:r>
      <w:r>
        <w:t xml:space="preserve"> </w:t>
      </w:r>
      <w:r>
        <w:t xml:space="preserve">(IPC approval),</w:t>
      </w:r>
      <w:r>
        <w:t xml:space="preserve"> </w:t>
      </w:r>
      <w:r>
        <w:rPr>
          <w:rStyle w:val="VerbatimChar"/>
        </w:rPr>
        <w:t xml:space="preserve">PaymentVoucherGov.objects.create()</w:t>
      </w:r>
      <w:r>
        <w:t xml:space="preserve"> </w:t>
      </w:r>
      <w:r>
        <w:t xml:space="preserve">(voucher raise),</w:t>
      </w:r>
      <w:r>
        <w:t xml:space="preserve"> </w:t>
      </w:r>
      <w:r>
        <w:rPr>
          <w:rStyle w:val="VerbatimChar"/>
        </w:rPr>
        <w:t xml:space="preserve">accounting.services.procurement_posting.get_vendor_ap_account()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 (budget):</w:t>
      </w:r>
      <w:r>
        <w:t xml:space="preserve"> </w:t>
      </w:r>
      <w:r>
        <w:rPr>
          <w:rStyle w:val="VerbatimChar"/>
        </w:rPr>
        <w:t xml:space="preserve">IPCService._enforce_appropriation_gate()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find_matching_appropriation()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check_policy()</w:t>
      </w:r>
      <w:r>
        <w:t xml:space="preserve"> </w:t>
      </w:r>
      <w:r>
        <w:t xml:space="preserve">against the IPSAS Appropriation register before the accrual journal is created.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 (workflow):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IPC</w:t>
      </w:r>
      <w:r>
        <w:t xml:space="preserve"> </w:t>
      </w:r>
      <w:r>
        <w:t xml:space="preserve">approval steps optionally route via</w:t>
      </w:r>
      <w:r>
        <w:t xml:space="preserve"> </w:t>
      </w:r>
      <w:r>
        <w:rPr>
          <w:rStyle w:val="VerbatimChar"/>
        </w:rPr>
        <w:t xml:space="preserve">workflow.Approval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(workflow):</w:t>
      </w:r>
      <w:r>
        <w:t xml:space="preserve"> </w:t>
      </w:r>
      <w:r>
        <w:rPr>
          <w:rStyle w:val="VerbatimChar"/>
        </w:rPr>
        <w:t xml:space="preserve">workflow.signals.sync_document_status_on_approval</w:t>
      </w:r>
      <w:r>
        <w:t xml:space="preserve"> </w:t>
      </w:r>
      <w:r>
        <w:t xml:space="preserve">writes back into</w:t>
      </w:r>
      <w:r>
        <w:t xml:space="preserve"> </w:t>
      </w:r>
      <w:r>
        <w:rPr>
          <w:rStyle w:val="VerbatimChar"/>
        </w:rPr>
        <w:t xml:space="preserve">ContractApprovalStep.status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inventory-module"/>
    <w:p>
      <w:pPr>
        <w:pStyle w:val="Heading2"/>
      </w:pPr>
      <w:r>
        <w:t xml:space="preserve">10. Inventory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Item / stock master, warehouse stock ledger, reservations,</w:t>
      </w:r>
      <w:r>
        <w:t xml:space="preserve"> </w:t>
      </w:r>
      <w:r>
        <w:t xml:space="preserve">batch / serial tracking, reorder alerts, inter-warehouse transfers.</w:t>
      </w:r>
    </w:p>
    <w:bookmarkStart w:id="95" w:name="key-models-6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inventory/models.py:11</w:t>
            </w:r>
          </w:p>
        </w:tc>
        <w:tc>
          <w:tcPr/>
          <w:p>
            <w:pPr>
              <w:pStyle w:val="Compact"/>
            </w:pPr>
            <w:r>
              <w:t xml:space="preserve">Item master — SKU, unit, GL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inventory/models.py:264</w:t>
            </w:r>
          </w:p>
        </w:tc>
        <w:tc>
          <w:tcPr/>
          <w:p>
            <w:pPr>
              <w:pStyle w:val="Compact"/>
            </w:pPr>
            <w:r>
              <w:t xml:space="preserve">Per-warehouse quantity + reserved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StockMovement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inventory/models.py:503</w:t>
            </w:r>
          </w:p>
        </w:tc>
        <w:tc>
          <w:tcPr/>
          <w:p>
            <w:pPr>
              <w:pStyle w:val="Compact"/>
            </w:pPr>
            <w:r>
              <w:t xml:space="preserve">Atomic IN / OUT / ADJ / TRF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inventory/models.py:207</w:t>
            </w:r>
          </w:p>
        </w:tc>
        <w:tc>
          <w:tcPr/>
          <w:p>
            <w:pPr>
              <w:pStyle w:val="Compact"/>
            </w:pPr>
            <w:r>
              <w:t xml:space="preserve">Batch / lot tracking with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inventory/models.py:675</w:t>
            </w:r>
          </w:p>
        </w:tc>
        <w:tc>
          <w:tcPr/>
          <w:p>
            <w:pPr>
              <w:pStyle w:val="Compact"/>
            </w:pPr>
            <w:r>
              <w:t xml:space="preserve">Physical / virtual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inventory/models.py:766</w:t>
            </w:r>
          </w:p>
        </w:tc>
        <w:tc>
          <w:tcPr/>
          <w:p>
            <w:pPr>
              <w:pStyle w:val="Compact"/>
            </w:pPr>
            <w:r>
              <w:t xml:space="preserve">Soft-allocation against a future need</w:t>
            </w:r>
          </w:p>
        </w:tc>
      </w:tr>
    </w:tbl>
    <w:bookmarkEnd w:id="95"/>
    <w:bookmarkStart w:id="99" w:name="process-flow-stock-movement"/>
    <w:p>
      <w:pPr>
        <w:pStyle w:val="Heading3"/>
      </w:pPr>
      <w:r>
        <w:t xml:space="preserve">Process flow — stock movement</w:t>
      </w:r>
    </w:p>
    <w:p>
      <w:pPr>
        <w:pStyle w:val="FirstParagraph"/>
      </w:pPr>
      <w:r>
        <w:drawing>
          <wp:inline>
            <wp:extent cx="5334000" cy="2041686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iagram-1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1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3" w:name="process-flow-reservation"/>
    <w:p>
      <w:pPr>
        <w:pStyle w:val="Heading3"/>
      </w:pPr>
      <w:r>
        <w:t xml:space="preserve">Process flow — reservation</w:t>
      </w:r>
    </w:p>
    <w:p>
      <w:pPr>
        <w:pStyle w:val="FirstParagraph"/>
      </w:pPr>
      <w:r>
        <w:drawing>
          <wp:inline>
            <wp:extent cx="5334000" cy="465836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diagram-1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8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4" w:name="integration-points-7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 (accounting):</w:t>
      </w:r>
      <w:r>
        <w:t xml:space="preserve"> </w:t>
      </w:r>
      <w:r>
        <w:rPr>
          <w:rStyle w:val="VerbatimChar"/>
        </w:rPr>
        <w:t xml:space="preserve">InventoryPostingService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JournalHeader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JournalLine</w:t>
      </w:r>
      <w:r>
        <w:t xml:space="preserve"> </w:t>
      </w:r>
      <w:r>
        <w:t xml:space="preserve">for stock movements (capitalised inventory accounting).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 (procurement):</w:t>
      </w:r>
      <w:r>
        <w:t xml:space="preserve"> </w:t>
      </w:r>
      <w:r>
        <w:rPr>
          <w:rStyle w:val="VerbatimChar"/>
        </w:rPr>
        <w:t xml:space="preserve">GoodsReceivedNote.save()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rows inline; calls</w:t>
      </w:r>
      <w:r>
        <w:t xml:space="preserve"> </w:t>
      </w:r>
      <w:r>
        <w:rPr>
          <w:rStyle w:val="VerbatimChar"/>
        </w:rPr>
        <w:t xml:space="preserve">inventory.services.get_default_warehouse_for_mda()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6" w:name="hrm-module"/>
    <w:p>
      <w:pPr>
        <w:pStyle w:val="Heading2"/>
      </w:pPr>
      <w:r>
        <w:t xml:space="preserve">11. HRM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Employee master, leave / attendance, recruitment pipeline,</w:t>
      </w:r>
      <w:r>
        <w:t xml:space="preserve"> </w:t>
      </w:r>
      <w:r>
        <w:t xml:space="preserve">payroll runs with salary structures and Nigerian statutory deductions</w:t>
      </w:r>
      <w:r>
        <w:t xml:space="preserve"> </w:t>
      </w:r>
      <w:r>
        <w:t xml:space="preserve">(PAYE, pension, NHF, NSITF).</w:t>
      </w:r>
    </w:p>
    <w:bookmarkStart w:id="106" w:name="key-models-7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hrm/models.py:56</w:t>
            </w:r>
          </w:p>
        </w:tc>
        <w:tc>
          <w:tcPr/>
          <w:p>
            <w:pPr>
              <w:pStyle w:val="Compact"/>
            </w:pPr>
            <w:r>
              <w:t xml:space="preserve">Staff master — grade, MDA, bank, tax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SalaryStructure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hrm/models.py:460</w:t>
            </w:r>
          </w:p>
        </w:tc>
        <w:tc>
          <w:tcPr/>
          <w:p>
            <w:pPr>
              <w:pStyle w:val="Compact"/>
            </w:pPr>
            <w:r>
              <w:t xml:space="preserve">Grade × component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hrm/models.py:544</w:t>
            </w:r>
          </w:p>
        </w:tc>
        <w:tc>
          <w:tcPr/>
          <w:p>
            <w:pPr>
              <w:pStyle w:val="Compact"/>
            </w:pPr>
            <w:r>
              <w:t xml:space="preserve">Monthly payroll cycle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hrm/models.py:573</w:t>
            </w:r>
          </w:p>
        </w:tc>
        <w:tc>
          <w:tcPr/>
          <w:p>
            <w:pPr>
              <w:pStyle w:val="Compact"/>
            </w:pPr>
            <w:r>
              <w:t xml:space="preserve">One run = one MDA × one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hrm/models.py:632</w:t>
            </w:r>
          </w:p>
        </w:tc>
        <w:tc>
          <w:tcPr/>
          <w:p>
            <w:pPr>
              <w:pStyle w:val="Compact"/>
            </w:pPr>
            <w:r>
              <w:t xml:space="preserve">Per-employee gross / deductions / 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hrm/models.py:171</w:t>
            </w:r>
          </w:p>
        </w:tc>
        <w:tc>
          <w:tcPr/>
          <w:p>
            <w:pPr>
              <w:pStyle w:val="Compact"/>
            </w:pPr>
            <w:r>
              <w:t xml:space="preserve">Leave application + balance tracking</w:t>
            </w:r>
          </w:p>
        </w:tc>
      </w:tr>
    </w:tbl>
    <w:bookmarkEnd w:id="106"/>
    <w:bookmarkStart w:id="110" w:name="process-flow-payroll-run"/>
    <w:p>
      <w:pPr>
        <w:pStyle w:val="Heading3"/>
      </w:pPr>
      <w:r>
        <w:t xml:space="preserve">Process flow — Payroll Run</w:t>
      </w:r>
    </w:p>
    <w:p>
      <w:pPr>
        <w:pStyle w:val="FirstParagraph"/>
      </w:pPr>
      <w:r>
        <w:drawing>
          <wp:inline>
            <wp:extent cx="5334000" cy="1129552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diagram-1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95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process-flow-leave-request"/>
    <w:p>
      <w:pPr>
        <w:pStyle w:val="Heading3"/>
      </w:pPr>
      <w:r>
        <w:t xml:space="preserve">Process flow — Leave Request</w:t>
      </w:r>
    </w:p>
    <w:p>
      <w:pPr>
        <w:pStyle w:val="FirstParagraph"/>
      </w:pPr>
      <w:r>
        <w:drawing>
          <wp:inline>
            <wp:extent cx="5334000" cy="8453886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diagram-2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5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5" w:name="integration-points-8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 (accounting):</w:t>
      </w:r>
      <w:r>
        <w:t xml:space="preserve"> </w:t>
      </w:r>
      <w:r>
        <w:rPr>
          <w:rStyle w:val="VerbatimChar"/>
        </w:rPr>
        <w:t xml:space="preserve">PayrollPostingService.post_payroll_run()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JournalHeader</w:t>
      </w:r>
      <w:r>
        <w:t xml:space="preserve">;</w:t>
      </w:r>
      <w:r>
        <w:t xml:space="preserve"> </w:t>
      </w:r>
      <w:r>
        <w:rPr>
          <w:rStyle w:val="VerbatimChar"/>
        </w:rPr>
        <w:t xml:space="preserve">PayrollRun.payroll_expense_account</w:t>
      </w:r>
      <w:r>
        <w:t xml:space="preserve"> </w:t>
      </w:r>
      <w:r>
        <w:t xml:space="preserve">is a FK to</w:t>
      </w:r>
      <w:r>
        <w:t xml:space="preserve"> </w:t>
      </w:r>
      <w:r>
        <w:rPr>
          <w:rStyle w:val="VerbatimChar"/>
        </w:rPr>
        <w:t xml:space="preserve">accounting.Account</w:t>
      </w:r>
      <w:r>
        <w:t xml:space="preserve">;</w:t>
      </w:r>
      <w:r>
        <w:t xml:space="preserve"> </w:t>
      </w:r>
      <w:r>
        <w:rPr>
          <w:rStyle w:val="VerbatimChar"/>
        </w:rPr>
        <w:t xml:space="preserve">PayrollRun.journal_entry</w:t>
      </w:r>
      <w:r>
        <w:t xml:space="preserve"> </w:t>
      </w:r>
      <w:r>
        <w:t xml:space="preserve">FK is set on completion.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In:</w:t>
      </w:r>
      <w:r>
        <w:t xml:space="preserve"> </w:t>
      </w:r>
      <w:r>
        <w:t xml:space="preserve">None — no other module calls into HRM.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7" w:name="workflow-module"/>
    <w:p>
      <w:pPr>
        <w:pStyle w:val="Heading2"/>
      </w:pPr>
      <w:r>
        <w:t xml:space="preserve">12. Workflow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Generic multi-step approval engine. Any document in any module</w:t>
      </w:r>
      <w:r>
        <w:t xml:space="preserve"> </w:t>
      </w:r>
      <w:r>
        <w:t xml:space="preserve">can attach an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GFK) with one or more</w:t>
      </w:r>
      <w:r>
        <w:t xml:space="preserve"> </w:t>
      </w:r>
      <w:r>
        <w:rPr>
          <w:rStyle w:val="VerbatimChar"/>
        </w:rPr>
        <w:t xml:space="preserve">ApprovalStep</w:t>
      </w:r>
      <w:r>
        <w:t xml:space="preserve">s, SLA tracking, and delegation.</w:t>
      </w:r>
    </w:p>
    <w:bookmarkStart w:id="117" w:name="key-models-8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workflow/models.py:162</w:t>
            </w:r>
          </w:p>
        </w:tc>
        <w:tc>
          <w:tcPr/>
          <w:p>
            <w:pPr>
              <w:pStyle w:val="Compact"/>
            </w:pPr>
            <w:r>
              <w:t xml:space="preserve">The approval instance, points at any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workflow/models.py:218</w:t>
            </w:r>
          </w:p>
        </w:tc>
        <w:tc>
          <w:tcPr/>
          <w:p>
            <w:pPr>
              <w:pStyle w:val="Compact"/>
            </w:pPr>
            <w:r>
              <w:t xml:space="preserve">One reviewer’s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workflow/models.py:116</w:t>
            </w:r>
          </w:p>
        </w:tc>
        <w:tc>
          <w:tcPr/>
          <w:p>
            <w:pPr>
              <w:pStyle w:val="Compact"/>
            </w:pPr>
            <w:r>
              <w:t xml:space="preserve">Named template (e.g. </w:t>
            </w:r>
            <w:r>
              <w:t xml:space="preserve">“PO ≥ ₦10M”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ApprovalTemplateStep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workflow/models.py:148</w:t>
            </w:r>
          </w:p>
        </w:tc>
        <w:tc>
          <w:tcPr/>
          <w:p>
            <w:pPr>
              <w:pStyle w:val="Compact"/>
            </w:pPr>
            <w:r>
              <w:t xml:space="preserve">Template step definition (tier, role, threshold)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ApprovalDelegation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workflow/models.py:340</w:t>
            </w:r>
          </w:p>
        </w:tc>
        <w:tc>
          <w:tcPr/>
          <w:p>
            <w:pPr>
              <w:pStyle w:val="Compact"/>
            </w:pPr>
            <w:r>
              <w:t xml:space="preserve">“While I’m on leave, route to X”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ApprovalSLAViolation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workflow/models.py:298</w:t>
            </w:r>
          </w:p>
        </w:tc>
        <w:tc>
          <w:tcPr/>
          <w:p>
            <w:pPr>
              <w:pStyle w:val="Compact"/>
            </w:pPr>
            <w:r>
              <w:t xml:space="preserve">SLA breach record for reporting</w:t>
            </w:r>
          </w:p>
        </w:tc>
      </w:tr>
    </w:tbl>
    <w:bookmarkEnd w:id="117"/>
    <w:bookmarkStart w:id="121" w:name="process-flow-generic-approval"/>
    <w:p>
      <w:pPr>
        <w:pStyle w:val="Heading3"/>
      </w:pPr>
      <w:r>
        <w:t xml:space="preserve">Process flow — generic approval</w:t>
      </w:r>
    </w:p>
    <w:p>
      <w:pPr>
        <w:pStyle w:val="FirstParagraph"/>
      </w:pPr>
      <w:r>
        <w:drawing>
          <wp:inline>
            <wp:extent cx="5334000" cy="5083409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diagram-2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5" w:name="X2056e0c27f6d2bc60c95fc3486ea04e76d64cc5"/>
    <w:p>
      <w:pPr>
        <w:pStyle w:val="Heading3"/>
      </w:pPr>
      <w:r>
        <w:t xml:space="preserve">Process flow — multi-tier approval (example: PO ≥ ₦10M)</w:t>
      </w:r>
    </w:p>
    <w:p>
      <w:pPr>
        <w:pStyle w:val="FirstParagraph"/>
      </w:pPr>
      <w:r>
        <w:drawing>
          <wp:inline>
            <wp:extent cx="5334000" cy="2286481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iagram-22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26" w:name="integration-points-9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Out:</w:t>
      </w:r>
      <w:r>
        <w:t xml:space="preserve"> </w:t>
      </w:r>
      <w:r>
        <w:t xml:space="preserve">Custom Django Signal</w:t>
      </w:r>
      <w:r>
        <w:t xml:space="preserve"> </w:t>
      </w:r>
      <w:r>
        <w:rPr>
          <w:rStyle w:val="VerbatimChar"/>
        </w:rPr>
        <w:t xml:space="preserve">document_approval_completed</w:t>
      </w:r>
      <w:r>
        <w:t xml:space="preserve"> </w:t>
      </w:r>
      <w:r>
        <w:t xml:space="preserve">(consumed by</w:t>
      </w:r>
      <w:r>
        <w:t xml:space="preserve"> </w:t>
      </w:r>
      <w:r>
        <w:rPr>
          <w:rStyle w:val="VerbatimChar"/>
        </w:rPr>
        <w:t xml:space="preserve">procurement.signals.auto_post_invoicematching_on_approval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Out:</w:t>
      </w:r>
      <w:r>
        <w:t xml:space="preserve"> </w:t>
      </w:r>
      <w:r>
        <w:rPr>
          <w:rStyle w:val="VerbatimChar"/>
        </w:rPr>
        <w:t xml:space="preserve">sync_document_status_on_approval</w:t>
      </w:r>
      <w:r>
        <w:t xml:space="preserve"> </w:t>
      </w:r>
      <w:r>
        <w:t xml:space="preserve">writes back to any document with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across all modules.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In:</w:t>
      </w:r>
      <w:r>
        <w:t xml:space="preserve"> </w:t>
      </w:r>
      <w:r>
        <w:t xml:space="preserve">Every module that wants workflow-gated approval calls</w:t>
      </w:r>
      <w:r>
        <w:t xml:space="preserve"> </w:t>
      </w:r>
      <w:r>
        <w:rPr>
          <w:rStyle w:val="VerbatimChar"/>
        </w:rPr>
        <w:t xml:space="preserve">auto_route_approval(document, ...)</w:t>
      </w:r>
      <w:r>
        <w:t xml:space="preserve"> </w:t>
      </w:r>
      <w:r>
        <w:t xml:space="preserve">from its</w:t>
      </w:r>
      <w:r>
        <w:t xml:space="preserve"> </w:t>
      </w:r>
      <w:r>
        <w:rPr>
          <w:rStyle w:val="VerbatimChar"/>
        </w:rPr>
        <w:t xml:space="preserve">submit_for_approval</w:t>
      </w:r>
      <w:r>
        <w:t xml:space="preserve"> </w:t>
      </w:r>
      <w:r>
        <w:t xml:space="preserve">action —</w:t>
      </w:r>
      <w:r>
        <w:t xml:space="preserve"> </w:t>
      </w:r>
      <w:r>
        <w:rPr>
          <w:rStyle w:val="VerbatimChar"/>
        </w:rPr>
        <w:t xml:space="preserve">procurement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hrm</w:t>
      </w:r>
      <w:r>
        <w:t xml:space="preserve"> </w:t>
      </w:r>
      <w:r>
        <w:t xml:space="preserve">all use this.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44" w:name="end-to-end-canonical-flows"/>
    <w:p>
      <w:pPr>
        <w:pStyle w:val="Heading2"/>
      </w:pPr>
      <w:r>
        <w:t xml:space="preserve">13. End-to-end canonical flows</w:t>
      </w:r>
    </w:p>
    <w:bookmarkStart w:id="131" w:name="procurement-to-payment-p2p-full-flow"/>
    <w:p>
      <w:pPr>
        <w:pStyle w:val="Heading3"/>
      </w:pPr>
      <w:r>
        <w:t xml:space="preserve">13.1 Procurement-to-Payment (P2P) — full flow</w:t>
      </w:r>
    </w:p>
    <w:p>
      <w:pPr>
        <w:pStyle w:val="FirstParagraph"/>
      </w:pPr>
      <w:r>
        <w:drawing>
          <wp:inline>
            <wp:extent cx="5334000" cy="27947055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diagram-23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7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5" w:name="contract-to-payment-c2p-full-flow"/>
    <w:p>
      <w:pPr>
        <w:pStyle w:val="Heading3"/>
      </w:pPr>
      <w:r>
        <w:t xml:space="preserve">13.2 Contract-to-Payment (C2P) — full flow</w:t>
      </w:r>
    </w:p>
    <w:p>
      <w:pPr>
        <w:pStyle w:val="FirstParagraph"/>
      </w:pPr>
      <w:r>
        <w:drawing>
          <wp:inline>
            <wp:extent cx="5334000" cy="17894891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diagram-24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5"/>
    <w:bookmarkStart w:id="139" w:name="budget-enactment-spend-gate"/>
    <w:p>
      <w:pPr>
        <w:pStyle w:val="Heading3"/>
      </w:pPr>
      <w:r>
        <w:t xml:space="preserve">13.3 Budget enactment → Spend gate</w:t>
      </w:r>
    </w:p>
    <w:p>
      <w:pPr>
        <w:pStyle w:val="FirstParagraph"/>
      </w:pPr>
      <w:r>
        <w:drawing>
          <wp:inline>
            <wp:extent cx="5334000" cy="20832188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diagram-25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2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3" w:name="payroll-gl-treasury"/>
    <w:p>
      <w:pPr>
        <w:pStyle w:val="Heading3"/>
      </w:pPr>
      <w:r>
        <w:t xml:space="preserve">13.4 Payroll → GL → Treasury</w:t>
      </w:r>
    </w:p>
    <w:p>
      <w:pPr>
        <w:pStyle w:val="FirstParagraph"/>
      </w:pPr>
      <w:r>
        <w:drawing>
          <wp:inline>
            <wp:extent cx="5334000" cy="259291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diagram-26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appendix-a-files-map-where-to-look"/>
    <w:p>
      <w:pPr>
        <w:pStyle w:val="Heading2"/>
      </w:pPr>
      <w:r>
        <w:t xml:space="preserve">Appendix A — Files map (where to look)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Primary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 posting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accounting/services/ipsas_journal_service.py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policy resolver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accounting/services/budget_check_rules.py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enforcement 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accounting/signals/budget_enforcement.py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 commitments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accounting/services/procurement_commitments.py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IPC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contracts/services/ipc_service.py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activation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contracts/services/contract_activation.py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Mobilisation / retention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contracts/services/mobilization_service.py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retention_service.py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auto-routing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workflow/views.py: auto_route_approval()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signals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workflow/signals.py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TSA cash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accounting/services/tsa_balance_service.py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posting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accounting/services/payroll_posting.py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posting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accounting/services/inventory_posting.py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Tenant-scope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tenants/middleware.py</w:t>
            </w:r>
            <w:r>
              <w:t xml:space="preserve"> </w:t>
            </w:r>
            <w:r>
              <w:t xml:space="preserve">(django-tenants)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warrant 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budget/management/commands/expire_warrants_all_tenants.py</w:t>
            </w:r>
          </w:p>
        </w:tc>
      </w:tr>
    </w:tbl>
    <w:bookmarkEnd w:id="145"/>
    <w:bookmarkStart w:id="146" w:name="appendix-b-status-palette-ui-reference"/>
    <w:p>
      <w:pPr>
        <w:pStyle w:val="Heading2"/>
      </w:pPr>
      <w:r>
        <w:t xml:space="preserve">Appendix B — Status palette (UI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/ 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  <w:r>
              <w:t xml:space="preserve"> </w:t>
            </w:r>
            <w:r>
              <w:t xml:space="preserve">(amber)</w:t>
            </w:r>
          </w:p>
        </w:tc>
        <w:tc>
          <w:tcPr/>
          <w:p>
            <w:pPr>
              <w:pStyle w:val="Compact"/>
            </w:pPr>
            <w:r>
              <w:t xml:space="preserve">All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/ RELEASED / POSTED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  <w:r>
              <w:t xml:space="preserve"> </w:t>
            </w:r>
            <w:r>
              <w:t xml:space="preserve">(green)</w:t>
            </w:r>
          </w:p>
        </w:tc>
        <w:tc>
          <w:tcPr/>
          <w:p>
            <w:pPr>
              <w:pStyle w:val="Compact"/>
            </w:pPr>
            <w:r>
              <w:t xml:space="preserve">All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/ FAILED / 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  <w:r>
              <w:t xml:space="preserve"> </w:t>
            </w:r>
            <w:r>
              <w:t xml:space="preserve">(red)</w:t>
            </w:r>
          </w:p>
        </w:tc>
        <w:tc>
          <w:tcPr/>
          <w:p>
            <w:pPr>
              <w:pStyle w:val="Compact"/>
            </w:pPr>
            <w:r>
              <w:t xml:space="preserve">All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/ SUSPENDED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#b45309</w:t>
            </w:r>
            <w:r>
              <w:t xml:space="preserve"> </w:t>
            </w:r>
            <w:r>
              <w:t xml:space="preserve">(rust)</w:t>
            </w:r>
          </w:p>
        </w:tc>
        <w:tc>
          <w:tcPr/>
          <w:p>
            <w:pPr>
              <w:pStyle w:val="Compact"/>
            </w:pPr>
            <w:r>
              <w:t xml:space="preserve">budget.Warrant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EXHAUSTED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#64748b</w:t>
            </w:r>
            <w:r>
              <w:t xml:space="preserve"> </w:t>
            </w:r>
            <w:r>
              <w:t xml:space="preserve">(slate)</w:t>
            </w:r>
          </w:p>
        </w:tc>
        <w:tc>
          <w:tcPr/>
          <w:p>
            <w:pPr>
              <w:pStyle w:val="Compact"/>
            </w:pPr>
            <w:r>
              <w:t xml:space="preserve">budget.Warrant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Posted (immutable)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#166534</w:t>
            </w:r>
            <w:r>
              <w:t xml:space="preserve"> </w:t>
            </w:r>
            <w:r>
              <w:t xml:space="preserve">(deep green)</w:t>
            </w:r>
          </w:p>
        </w:tc>
        <w:tc>
          <w:tcPr/>
          <w:p>
            <w:pPr>
              <w:pStyle w:val="Compact"/>
            </w:pPr>
            <w:r>
              <w:t xml:space="preserve">accounting.JournalHeader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#16a34a</w:t>
            </w:r>
            <w:r>
              <w:t xml:space="preserve"> </w:t>
            </w:r>
            <w:r>
              <w:t xml:space="preserve">(emerald)</w:t>
            </w:r>
          </w:p>
        </w:tc>
        <w:tc>
          <w:tcPr/>
          <w:p>
            <w:pPr>
              <w:pStyle w:val="Compact"/>
            </w:pPr>
            <w:r>
              <w:t xml:space="preserve">accounting.PaymentVoucherGov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</w:t>
      </w:r>
    </w:p>
    <w:bookmarkEnd w:id="146"/>
    <w:bookmarkEnd w:id="147"/>
    <w:sectPr>
      <w:footnotePr>
        <w:numRestart w:val="eachSect"/>
      </w:footnote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0F172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" w:asciiTheme="majorHAnsi" w:cstheme="majorBidi" w:eastAsiaTheme="majorEastAsia" w:hAnsi="Segoe UI" w:hAnsiTheme="majorHAnsi"/>
      <w:b/>
      <w:color w:val="1E40A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b w:val="0"/>
      <w:color w:val="475569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egoe UI" w:asciiTheme="majorHAnsi" w:cstheme="majorBidi" w:eastAsiaTheme="majorEastAsia" w:hAnsi="Segoe UI" w:hAnsiTheme="majorHAnsi"/>
      <w:b/>
      <w:color w:val="1E40AF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" w:asciiTheme="majorHAnsi" w:cstheme="majorBidi" w:eastAsiaTheme="majorEastAsia" w:hAnsi="Segoe UI" w:hAnsiTheme="majorHAnsi"/>
      <w:b/>
      <w:color w:val="1E3A8A"/>
      <w:sz w:val="3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" w:cstheme="majorBidi" w:eastAsiaTheme="majorEastAsia" w:hAnsi="Segoe UI"/>
      <w:b/>
      <w:color w:val="312E8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475569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E40A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 PSE - Module Process Flows</dc:title>
  <dc:creator>Quot PSE Engineering</dc:creator>
  <cp:keywords/>
  <dcterms:created xsi:type="dcterms:W3CDTF">2026-05-08T22:12:36Z</dcterms:created>
  <dcterms:modified xsi:type="dcterms:W3CDTF">2026-05-08T22:12:36Z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2026-05-08</vt:lpwstr>
  </property>
  <property fmtid="{D5CDD505-2E9C-101B-9397-08002B2CF9AE}" pid="3" name="subtitle">
    <vt:lpwstr>Public-Sector IFMIS Architecture Reference</vt:lpwstr>
  </property>
</Properties>
</file>