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Calibri" w:cs="Calibri" w:eastAsia="Calibri" w:hAnsi="Calibri"/>
          <w:b/>
          <w:bCs/>
          <w:color w:val="0F4C81"/>
          <w:spacing w:val="80"/>
          <w:sz w:val="96"/>
          <w:szCs w:val="96"/>
        </w:rPr>
        <w:t xml:space="preserve">QUOT PSA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C7973F"/>
          <w:sz w:val="36"/>
          <w:szCs w:val="36"/>
        </w:rPr>
        <w:t xml:space="preserve">Public Sector Accounting Platform</w:t>
      </w:r>
    </w:p>
    <w:p>
      <w:pPr>
        <w:spacing w:after="600" w:before="40"/>
        <w:jc w:val="center"/>
      </w:pPr>
      <w:r>
        <w:rPr>
          <w:rFonts w:ascii="Calibri" w:cs="Calibri" w:eastAsia="Calibri" w:hAnsi="Calibri"/>
          <w:i/>
          <w:iCs/>
          <w:color w:val="5A5A5A"/>
          <w:sz w:val="22"/>
          <w:szCs w:val="22"/>
        </w:rPr>
        <w:t xml:space="preserve">Nigeria IFMIS-aligned · IPSAS-compliant · GFS 2014 reporting</w:t>
      </w:r>
    </w:p>
    <w:p>
      <w:pPr>
        <w:pBdr>
          <w:bottom w:val="single" w:color="C7973F" w:sz="24" w:space="1"/>
        </w:pBdr>
        <w:spacing w:after="600" w:before="0"/>
        <w:jc w:val="center"/>
      </w:pPr>
      <w:r>
        <w:t xml:space="preserve"/>
      </w:r>
    </w:p>
    <w:p>
      <w:pPr>
        <w:spacing w:after="280"/>
        <w:jc w:val="center"/>
      </w:pPr>
      <w:r>
        <w:rPr>
          <w:rFonts w:ascii="Calibri" w:cs="Calibri" w:eastAsia="Calibri" w:hAnsi="Calibri"/>
          <w:i/>
          <w:iCs/>
          <w:color w:val="1A1A1A"/>
          <w:sz w:val="26"/>
          <w:szCs w:val="26"/>
        </w:rPr>
        <w:t xml:space="preserve">A purpose-built, multi-tenant treasury and accounting platform for Federal, State, and Local Government MDAs, parastatals, and revenue agencies.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A5A5A"/>
          <w:sz w:val="22"/>
          <w:szCs w:val="22"/>
        </w:rPr>
        <w:t xml:space="preserve">Every module — budget, commitments, treasury, revenue, payroll, assets, and reporting — is designed around the constitutional, legal, and fiscal-control requirements that govern public money.</w:t>
      </w:r>
    </w:p>
    <w:p>
      <w:pPr>
        <w:spacing w:after="200" w:before="6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F4F7FB" w:sz="1"/>
              <w:left w:val="single" w:color="F4F7FB" w:sz="1"/>
              <w:bottom w:val="single" w:color="F4F7FB" w:sz="1"/>
              <w:right w:val="single" w:color="F4F7FB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44"/>
                <w:szCs w:val="44"/>
              </w:rPr>
              <w:t xml:space="preserve">20+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5A5A"/>
                <w:sz w:val="18"/>
                <w:szCs w:val="18"/>
              </w:rPr>
              <w:t xml:space="preserve">Functional Modules</w:t>
            </w:r>
          </w:p>
        </w:tc>
        <w:tc>
          <w:tcPr>
            <w:tcW w:type="dxa" w:w="2520"/>
            <w:tcBorders>
              <w:top w:val="single" w:color="F4F7FB" w:sz="1"/>
              <w:left w:val="single" w:color="F4F7FB" w:sz="1"/>
              <w:bottom w:val="single" w:color="F4F7FB" w:sz="1"/>
              <w:right w:val="single" w:color="F4F7FB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44"/>
                <w:szCs w:val="44"/>
              </w:rPr>
              <w:t xml:space="preserve">19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5A5A"/>
                <w:sz w:val="18"/>
                <w:szCs w:val="18"/>
              </w:rPr>
              <w:t xml:space="preserve">IPSAS / GFS Reports</w:t>
            </w:r>
          </w:p>
        </w:tc>
        <w:tc>
          <w:tcPr>
            <w:tcW w:type="dxa" w:w="2520"/>
            <w:tcBorders>
              <w:top w:val="single" w:color="F4F7FB" w:sz="1"/>
              <w:left w:val="single" w:color="F4F7FB" w:sz="1"/>
              <w:bottom w:val="single" w:color="F4F7FB" w:sz="1"/>
              <w:right w:val="single" w:color="F4F7FB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44"/>
                <w:szCs w:val="44"/>
              </w:rPr>
              <w:t xml:space="preserve">7-Seg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5A5A"/>
                <w:sz w:val="18"/>
                <w:szCs w:val="18"/>
              </w:rPr>
              <w:t xml:space="preserve">National CoA</w:t>
            </w:r>
          </w:p>
        </w:tc>
        <w:tc>
          <w:tcPr>
            <w:tcW w:type="dxa" w:w="2520"/>
            <w:tcBorders>
              <w:top w:val="single" w:color="F4F7FB" w:sz="1"/>
              <w:left w:val="single" w:color="F4F7FB" w:sz="1"/>
              <w:bottom w:val="single" w:color="F4F7FB" w:sz="1"/>
              <w:right w:val="single" w:color="F4F7FB" w:sz="1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44"/>
                <w:szCs w:val="44"/>
              </w:rPr>
              <w:t xml:space="preserve">IFMIS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A5A5A"/>
                <w:sz w:val="18"/>
                <w:szCs w:val="18"/>
              </w:rPr>
              <w:t xml:space="preserve">Native Compliance</w:t>
            </w:r>
          </w:p>
        </w:tc>
      </w:tr>
    </w:tbl>
    <w:p>
      <w:pPr>
        <w:spacing w:after="0" w:before="1200"/>
        <w:jc w:val="center"/>
      </w:pPr>
      <w:r>
        <w:rPr>
          <w:rFonts w:ascii="Calibri" w:cs="Calibri" w:eastAsia="Calibri" w:hAnsi="Calibri"/>
          <w:b/>
          <w:bCs/>
          <w:color w:val="5A5A5A"/>
          <w:spacing w:val="40"/>
          <w:sz w:val="28"/>
          <w:szCs w:val="28"/>
        </w:rPr>
        <w:t xml:space="preserve">FEATURE BROCHURE</w:t>
      </w:r>
    </w:p>
    <w:p>
      <w:pPr>
        <w:jc w:val="center"/>
      </w:pPr>
      <w:r>
        <w:rPr>
          <w:rFonts w:ascii="Calibri" w:cs="Calibri" w:eastAsia="Calibri" w:hAnsi="Calibri"/>
          <w:color w:val="5A5A5A"/>
          <w:sz w:val="22"/>
          <w:szCs w:val="22"/>
        </w:rPr>
        <w:t xml:space="preserve">Quot Technologies</w:t>
      </w:r>
    </w:p>
    <w:p>
      <w:r>
        <w:br w:type="page"/>
      </w:r>
    </w:p>
    <w:p>
      <w:pPr>
        <w:pStyle w:val="Heading1"/>
        <w:pBdr>
          <w:bottom w:val="single" w:color="0F4C81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0F4C81"/>
          <w:sz w:val="36"/>
          <w:szCs w:val="36"/>
        </w:rPr>
        <w:t xml:space="preserve">Executive Overview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Quot PSA is a full-stack Public Sector Accounting solution purpose-built for the Nigerian Integrated Financial Management Information System (IFMIS) framework and the International Public Sector Accounting Standards (IPSAS).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It is not a private-sector ERP with a "government mode" bolted on. Every primitive — appropriation, warrant, commitment, fund, vote book, voucher, mandate, TSA sub-account — is modelled first-class. The result is a system that enforces fiscal control at the point of commitment, not after the fact.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Who it serves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Federal Ministries, Departments and Agencies (MDAs)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State Government treasuries and Accountant-General offices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Local Government Councils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Parastatals, commissions, and statutory corporations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Revenue authorities and internally-generated revenue (IGR) agencies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Donor-funded projects requiring ring-fenced fund accounting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Why this is different from a private-sector ERP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Public sector accounting differs from commercial accounting in ways that cannot be retrofitted. Quot PSA implements all of the following as native primitives: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Why a private ERP cannot satisfy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Appropriation as law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Every expenditure is gated by an Appropriation Act line. No private P&amp;L has this concept.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Fund accounting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Money is restricted by source (CRF, Development Fund, IGR, Donor) — not pooled as general purpose.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Commitment accounting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Encumbrance is recorded at PO/LPO, not at invoice. Budget exhaustion must be blocked before the order is placed.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National Chart of Accounts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Seven-segment classification (Admin × Economic × Functional × Programme × Fund × Geo × Project) absent from commercial CoAs.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Treasury Single Account (TSA)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All government cash sweeps to one consolidated account; MDA-held sub-accounts must reconcile to it.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IPSAS reporting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Accumulated Fund and Revaluation Surplus on equity, no profit concept, cash-flow under the direct method.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Statutory submissions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OAGF, OAuGF, CBN, FIRS, and Budget Office formats and deadlines mandated by the Finance (Control and Management) Act.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4C81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0F4C81"/>
          <w:sz w:val="36"/>
          <w:szCs w:val="36"/>
        </w:rPr>
        <w:t xml:space="preserve">Architecture &amp; Technology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Multi-tenant by design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Each government body — a State, Agency, or parastatal — is provisioned as a tenant with its own isolated PostgreSQL schema. A single Quot PSA deployment can host Delta State, Edo State, FIRS, and a Federal parastatal simultaneously with zero data crossover. The public schema holds only cross-tenant infrastructure: the tenant registry, superadmin console, and licensing.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Technology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Backend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Django 5.2 LTS · Django REST Framework 3.17 · PostgreSQL 15 · django-tenants 3.10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Frontend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React 19 · Vite 7 · TypeScript · Ant Design v6 · TanStack Query · Recharts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DRF Token + SimpleJWT · per-tenant RBAC with Segregation of Duties · MFA · HttpOnly cookie sessions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Celery + Redis (depreciation runs, bank reconciliation, statutory report generation, scheduled cascades)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drf-spectacular · live OpenAPI schema at /api/schema/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Gunicorn · Nginx · PgBouncer pooling · Docker · AlmaLinux production playbook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Structured JSON logging · DRF exception handler · audit trail service · application health endpoints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Architectural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Schema-per-tenant data isolation enforced at the database level, not the application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Posting services are idempotent and protected by a unique index on (source_module, source_document_id) so duplicate postings cannot occur.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Period control gates every journal — posting, reversing, and unposting all validate fiscal period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Row-level locking (select_for_update) protects warrant availability checks, IPC voucher issuance, and bulk approval flows from race conditions.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Segregation of Duties (SoD) is evaluated by a central service; the same rules guard warrant release, virement approval, appropriation enactment, IPC posting, and mobilization release.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Frontend uses code-splitting via React.lazy across all top-level routes for fast first-paint on slow government networks.</w:t>
      </w:r>
    </w:p>
    <w:p>
      <w:r>
        <w:br w:type="page"/>
      </w:r>
    </w:p>
    <w:p>
      <w:pPr>
        <w:pStyle w:val="Heading1"/>
        <w:pBdr>
          <w:bottom w:val="single" w:color="0F4C81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0F4C81"/>
          <w:sz w:val="36"/>
          <w:szCs w:val="36"/>
        </w:rPr>
        <w:t xml:space="preserve">Feature Modules</w:t>
      </w:r>
    </w:p>
    <w:p>
      <w:pPr>
        <w:spacing w:after="2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platform is organised into twenty functional modules. Each module is a complete subsystem with its own data model, services, REST API, frontend pages, audit trail, and role-based permissions.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1 · Budget Preparation &amp; Appropriation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Budget lifecycle, end to end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i/>
                <w:iCs/>
                <w:color w:val="D9E2F0"/>
                <w:sz w:val="20"/>
                <w:szCs w:val="20"/>
              </w:rPr>
              <w:t xml:space="preserve">From MTEF envelope to enacted Appropriation Act, to warrants and virements.</w:t>
            </w:r>
          </w:p>
        </w:tc>
      </w:tr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MTEF &amp; Sector Envelopes: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multi-year medium-term expenditure framework with rolling sector ceilings.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MDA budget ceilings: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each MDA receives an apportionment of the sector envelope with budget-line targets.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Line-item budget entry: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capital and recurrent budget lines classified by Admin × Economic × Functional × Programme × Fund × Geo × Project.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Appropriation Act loading: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enacted Act lines imported and locked; any over-commitment is blocked at the source.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Warrants: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AIE, recurrent and capital warrants, MDA releases with expiry dates and Cancelled status; expired warrants are filtered from availability calculations.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Virements: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inter-line and inter-MDA transfers with SoD-enforced approval and appropriation re-check on ceiling increases.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Variance analysis: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live comparison of budget vs. commitments vs. actuals across all seven NCoA segments.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Budget check rules: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configurable tolerance bands, freeze flags, and warning-vs-block behaviour per fund / per economic head.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2 · Procurement &amp; Commitment Control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BPP-aligned procurement with pre-encumbrance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i/>
                <w:iCs/>
                <w:color w:val="D9E2F0"/>
                <w:sz w:val="20"/>
                <w:szCs w:val="20"/>
              </w:rPr>
              <w:t xml:space="preserve">Every commitment is checked against the budget before the order is placed.</w:t>
            </w:r>
          </w:p>
        </w:tc>
      </w:tr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Vendor registration: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classified by vendor category, with expiry tracking and BPP compliance status.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Requisition workflow: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Purchase Requisition with multi-level approval, dimension-tagged for cost-centre attribution.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Procurement methods: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open tender, selective tender, request for quotation, direct procurement — each with its own workflow template.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Purchase Orders / LPOs: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commitment journal posted at issuance; budget-line pre-encumbrance blocks over-commitment.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Goods Received Notes (GRN):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three-way match against PO and invoice; partial receipts supported.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Invoice matching: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price and quantity variance checks with configurable tolerance, escalation to procurement officer above threshold.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Purchase returns: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credit-note generation with reversal of original AP posting and inventory write-back.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Vendor performance: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on-time delivery, quality, and contract-compliance scorecards per vendor.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3 · Contracts, IPCs &amp; Variations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Works contract administration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i/>
                <w:iCs/>
                <w:color w:val="D9E2F0"/>
                <w:sz w:val="20"/>
                <w:szCs w:val="20"/>
              </w:rPr>
              <w:t xml:space="preserve">Full lifecycle for works/services contracts including IPCs, retention, mobilisation, defects-liability, and closure.</w:t>
            </w:r>
          </w:p>
        </w:tc>
      </w:tr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Contract register: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full contract record with parties, ceilings, dates, BoQ, and document attachments (with magic-byte file-type validation).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Measurement books: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progress measurements locked once cited in an IPC — no retroactive edits to billed quantities.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Interim Payment Certificates (IPCs):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progress-payment certificates with row-level locking during voucher raising to prevent double vouchers.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Mobilisation advances: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select_for_update protected; recovery schedule tracked across subsequent IPCs.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Retention money: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auto-accrual on each IPC, release on completion or defects-liability expiry — accrued on the intended release date, not posting date.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Variations: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orders that increase contract ceiling re-check appropriation availability before approval.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Defects-liability period (DLP):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tracked with retention-release scheduling and SoD-enforced closure.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Contract closure: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two-person SoD on closure; cascade settlement of outstanding IPCs and retention release.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Per-MDA visibility: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contract viewsets are scoped to the user’s MDA permissions; superadmins see across MDAs.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4 · Treasury Single Account (TSA)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Whole-of-government cash visibility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i/>
                <w:iCs/>
                <w:color w:val="D9E2F0"/>
                <w:sz w:val="20"/>
                <w:szCs w:val="20"/>
              </w:rPr>
              <w:t xml:space="preserve">TSA hierarchy with deterministic mapping into the General Ledger for IPSAS cash-flow reporting.</w:t>
            </w:r>
          </w:p>
        </w:tc>
      </w:tr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TSA hierarchy: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master TSA, MDA sub-accounts, zero-balance accounts, and earmarked sub-accounts.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TSA ledger: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real-time balance per MDA sub-account with sweep history.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TSA transfers: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inter-MDA and TSA-to-bank transfers with dual-control approval.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TSA-to-GL resolver: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deterministic mapping from TSA movements into the appropriate GL accounts so cash-flow statements reconcile exactly.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TSA bank reconciliation: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race-safe auto-match against CBN bank statements; unmatched items routed to operator queue.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TSA cash-position report: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consolidated dashboard for the Accountant-General with drill-down by MDA.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Mirror sync via signals: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TSA mirror is updated only by Django signals on payment confirmation — never on GET endpoints — guaranteeing consistency.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5 · Revenue Management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Revenue from collection to consolidated fund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i/>
                <w:iCs/>
                <w:color w:val="D9E2F0"/>
                <w:sz w:val="20"/>
                <w:szCs w:val="20"/>
              </w:rPr>
              <w:t xml:space="preserve">Multi-channel revenue collection mapped to NCoA economic classification.</w:t>
            </w:r>
          </w:p>
        </w:tc>
      </w:tr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Revenue heads: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taxonomy of revenue items per the National Chart of Accounts.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Collection channels: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POS, online gateways, bank-counter receipts, mobile money.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Receipts: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tax receipts issued with TIN, NCoA economic code, and revenue head; posted to the Consolidated Revenue Fund.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Revenue budget vs. actuals: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live performance against approved revenue budget.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Revenue collection form: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operator-facing UI for cashiers with built-in WHT/VAT calculation.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IGR vs. CRF segregation: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restricted revenue stays in its fund of origin; no commingling with the Consolidated Revenue Fund.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6 · General Ledger &amp; National Chart of Accounts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Seven-segment NCoA with IPSAS-grade GL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i/>
                <w:iCs/>
                <w:color w:val="D9E2F0"/>
                <w:sz w:val="20"/>
                <w:szCs w:val="20"/>
              </w:rPr>
              <w:t xml:space="preserve">The accounting backbone of every other module.</w:t>
            </w:r>
          </w:p>
        </w:tc>
      </w:tr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Chart of Accounts: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managed at the COA level with bi-directional sync to the NCoA structure.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NCoA segments: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Administrative, Economic, Functional (COFOG), Programme, Fund, Geo, Project — each managed in its own admin form.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Journal entries: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manual and system-generated, validated for fiscal-period status, balanced debits and credits, and segment integrity.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Recurring journals: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templated journals that post on a configurable schedule.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Accruals &amp; deferrals: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period-end accrual journals with automatic reversal in the next period.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Year-end close: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guided close process; year_end_close service raises explicit errors rather than swallowing them.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Posting idempotency: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unique index on (source_module, source_document_id) guarantees no journal is posted twice.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Unposting controls: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unpost validates fiscal-period state and SoD before reversing.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7 · Accounts Payable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Vendor invoices, vouchers, and payments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i/>
                <w:iCs/>
                <w:color w:val="D9E2F0"/>
                <w:sz w:val="20"/>
                <w:szCs w:val="20"/>
              </w:rPr>
              <w:t xml:space="preserve">AP integrated with procurement matching, WHT derivation, and payment-reconciliation.</w:t>
            </w:r>
          </w:p>
        </w:tc>
      </w:tr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Vendor invoices: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created from PO/GRN match or stand-alone; AP account resolution distinguishes invoice, credit memo, and debit memo.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Credit &amp; debit memos: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reversal-aware posting with the correct AP control account.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Payment vouchers (PVs):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PV factory generates vouchers from approved invoices with WHT and tax derivations applied.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Outgoing payments: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bank transfer, cheque, or mandate to the CBN; duplicate-posting guard prevents the same payment being posted twice.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Payment reconciliation queue: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failed cascades are queued for retry via a management command (retry_payment_cascades) — no silent loss.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Vendor advances: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uncleared-advance warning on new invoices so unsettled advances are never forgotten.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Withholding tax derivation: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WHT computed per vendor and tax code; exemption certificates honoured without silent fallback to zero.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AP aging: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configurable buckets with drill-down by vendor and cost-centre.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8 · Accounts Receivable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Customer invoicing and collection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i/>
                <w:iCs/>
                <w:color w:val="D9E2F0"/>
                <w:sz w:val="20"/>
                <w:szCs w:val="20"/>
              </w:rPr>
              <w:t xml:space="preserve">For agencies that bill third parties — leases, services, or IGR billables.</w:t>
            </w:r>
          </w:p>
        </w:tc>
      </w:tr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Customer master: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customer registry with credit limits, payment terms, and tax registration.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Customer invoices: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multi-line invoices with tax codes, dimensions, and NCoA mapping.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Incoming payments: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cash, bank-transfer, and online-gateway receipts allocated to open invoices.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AR aging: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aging reports with configurable buckets and dunning workflow hooks.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Statements: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customer statement generation for outstanding balances.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9 · Fixed Assets &amp; Depreciation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IPSAS 17 compliant asset accounting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i/>
                <w:iCs/>
                <w:color w:val="D9E2F0"/>
                <w:sz w:val="20"/>
                <w:szCs w:val="20"/>
              </w:rPr>
              <w:t xml:space="preserve">Full lifecycle from capitalisation to disposal.</w:t>
            </w:r>
          </w:p>
        </w:tc>
      </w:tr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Asset categories: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with default GL accounts for cost, depreciation, accumulated depreciation, and disposal.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Capitalisation: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from PO/invoice with automatic posting to the asset GL — no manual journal needed.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Depreciation: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five methods supported (straight-line, declining-balance, sum-of-years’-digits, units-of-production, IPSAS-prescribed schedules).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Asset Register: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asset history reconstructible from GL because every capitalisation, depreciation, revaluation, and disposal is tagged to the asset ID.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Revaluation: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IAS 16 / IPSAS 17 revaluation surplus posting with reverse-on-disposal handling.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Impairment: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one-off impairment journal with disclosure trail.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Intangibles &amp; amortisation: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parallel handling for intangible assets with amortisation schedule.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Disposals: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gain/loss computed automatically; proceeds posted to the correct revenue head.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10 · Bank &amp; Cash Management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Operational cash control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i/>
                <w:iCs/>
                <w:color w:val="D9E2F0"/>
                <w:sz w:val="20"/>
                <w:szCs w:val="20"/>
              </w:rPr>
              <w:t xml:space="preserve">Every bank account reconciled against the source statement.</w:t>
            </w:r>
          </w:p>
        </w:tc>
      </w:tr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Bank-account registry: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all MDA bank accounts with CBN code, BVN sweep mapping, and authorised signatories.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Cash accounts: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petty-cash and imprest accounts with re-imbursement workflow.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Bank reconciliation: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statement import, auto-match by reference and amount with race-safe locking, and operator queue for unmatched items.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Cheque register: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cheque issuance with status tracking — issued, presented, returned, cancelled.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Bank-cash dashboard: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consolidated cash position across all operating accounts.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11 · Tax (PAYE · VAT · WHT)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Statutory tax administration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i/>
                <w:iCs/>
                <w:color w:val="D9E2F0"/>
                <w:sz w:val="20"/>
                <w:szCs w:val="20"/>
              </w:rPr>
              <w:t xml:space="preserve">Tax computation, withholding, and statutory return preparation.</w:t>
            </w:r>
          </w:p>
        </w:tc>
      </w:tr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Tax codes: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configurable tax rate tables for VAT, WHT, PAYE, and stamp duty per vendor / customer / employee category.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VAT returns: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monthly VAT return computation with input/output VAT roll-forward.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Withholding tax: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derived at invoice time with exemption handling; WHT payment derivation produces remittance vouchers to FIRS.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Statutory XML export: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machine-readable XML and XBRL exports for regulator submission.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Tax management UI: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unified screen for tax setup, rate changes, and exemption certificates.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12 · Payroll &amp; Pension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IPPIS-style payroll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i/>
                <w:iCs/>
                <w:color w:val="D9E2F0"/>
                <w:sz w:val="20"/>
                <w:szCs w:val="20"/>
              </w:rPr>
              <w:t xml:space="preserve">Salary processing aligned with the Pension Reform Act 2014.</w:t>
            </w:r>
          </w:p>
        </w:tc>
      </w:tr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Payroll cycles: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monthly, mid-month, and ad-hoc runs with cost-centre allocation (no silent zero on allocation failure).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PAYE: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progressive Personal Income Tax computed per the Personal Income Tax Act.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Pension (PRA 2014):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employer and employee Retirement Savings Account contributions remitted to PFAs.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Group Life Insurance: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monthly premium accrual and payment.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Payslips: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employee-portal self-service download.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Batch pay to TSA: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consolidated salary mandate to the CBN for crediting individual employee bank accounts.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Pension accrual service: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monthly accrual journal aligned with the actuarial schedule.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13 · Human Resources Management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Employee master, leave, and performance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i/>
                <w:iCs/>
                <w:color w:val="D9E2F0"/>
                <w:sz w:val="20"/>
                <w:szCs w:val="20"/>
              </w:rPr>
              <w:t xml:space="preserve">Operational HR functions feeding payroll and biometric attendance.</w:t>
            </w:r>
          </w:p>
        </w:tc>
      </w:tr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Employee master: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employees, positions, departments, and skills with hierarchical reporting line.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Attendance: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biometric-capable attendance capture with leave-balance impact.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Leave management: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leave applications with approval workflow, balance tracking, and accrual.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Performance management: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review cycles, KPI tracking, and rating history.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Training: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training catalogue, attendance, and certification tracking.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Recruitment: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job posts, candidate pipeline, and onboarding handover into the employee master.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Exit management: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clearance workflow with final-settlement posting.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Compliance: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statutory document tracking (NHF, ITF, NSITF) and renewal alerts.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Employee self-service portal: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my profile, payslips, leave, and documents.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14 · Inventory &amp; Stores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Government stores and warehouse control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i/>
                <w:iCs/>
                <w:color w:val="D9E2F0"/>
                <w:sz w:val="20"/>
                <w:szCs w:val="20"/>
              </w:rPr>
              <w:t xml:space="preserve">Quantity and value tracking with auto-posting to inventory GL.</w:t>
            </w:r>
          </w:p>
        </w:tc>
      </w:tr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Item &amp; category master: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product taxonomy with stock-keeping units, units of measure, and reorder thresholds.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Warehouses &amp; bins: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multiple warehouses with bin-level location tracking.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Stock movements: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GRN inwards, dispatch outwards, transfers, and adjustments; every movement posts to inventory GL.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Batches &amp; serials: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lot and serial-number tracking with expiry alerts.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Stock valuation: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weighted-average and FIFO valuation methods.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Reorder &amp; expiry alerts: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configurable thresholds notify the storekeeper before stockouts or expiry.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Stock reconciliation: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physical count vs. system, with variance posting and approval.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Inventory adjustment: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manual adjustment with reason code, approval, and audit trail.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15 · Workflow &amp; Approvals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Configurable approvals across modules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i/>
                <w:iCs/>
                <w:color w:val="D9E2F0"/>
                <w:sz w:val="20"/>
                <w:szCs w:val="20"/>
              </w:rPr>
              <w:t xml:space="preserve">A single approval engine drives PRs, POs, IPCs, vouchers, virements, and journals.</w:t>
            </w:r>
          </w:p>
        </w:tc>
      </w:tr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Approval templates: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per document type, with conditions on amount, fund, vote, and originator.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Approval groups: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role-based approver groups with quorum support.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Approval history: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every action timestamped, attributed, and immutable.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Workflow inbox: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unified inbox for pending approvals across all document types.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Approval dashboard: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queue analytics — SLA adherence, average dwell time, by approver.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Bulk approve: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race-safe bulk approval with per-row locking.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SoD enforcement: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document originator cannot approve their own document; approval rules respect SoD violations and return HTTP 403.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16 · Financial Reporting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IPSAS, GFS 2014, and statutory reports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i/>
                <w:iCs/>
                <w:color w:val="D9E2F0"/>
                <w:sz w:val="20"/>
                <w:szCs w:val="20"/>
              </w:rPr>
              <w:t xml:space="preserve">Nineteen first-class statutory reports plus the standard managerial pack.</w:t>
            </w:r>
          </w:p>
        </w:tc>
      </w:tr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IPSAS Statement of Financial Position: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consolidated and per-fund balance sheet.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IPSAS Statement of Financial Performance: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revenues and expenses on accrual or cash basis.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Statement of Cash Flows: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direct-method cash flow reconciled to TSA movements.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Statement of Changes in Net Assets / Equity: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Accumulated Fund and Revaluation Surplus movements.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Notes to Financial Statements: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narrative and tabular disclosures with revenue-budget reconciliation.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Budget vs. Actual (GFS 2014):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variance and execution percentages aligned to GFS classification.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Budget Performance Report: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utilisation against appropriated, warranted, committed, and expended amounts.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Warrant Utilisation Report: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per-MDA warrant draw-down history.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TSA Cash Position Report: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consolidated treasury cash position with sub-account drill-down.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Functional Classification Report: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COFOG (UN Classification of the Functions of Government) roll-up.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Programme Performance Report: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expenditure by programme classification.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Fund Performance Report: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utilisation by fund source (CRF, Dev Fund, IGR, Donor).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Geographic Distribution Report: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spend mapped to geo-political zones / states / LGAs.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Commitment Report: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outstanding commitments and encumbrances per budget line.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Execution Report: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execution percentages with traffic-light status.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Revenue Performance Report: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revenue collection vs. budget by head and channel.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Trial Balance, P&amp;L, Balance Sheet, Cash Flow (managerial pack):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the standard finance reports for in-period management review.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Report snapshots &amp; caching: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long-running reports are cached and snapshot-stored for repeatable retrieval.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XBRL export: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machine-readable financial statement export.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17 · Audit Trail &amp; Compliance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Forensic-grade audit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i/>
                <w:iCs/>
                <w:color w:val="D9E2F0"/>
                <w:sz w:val="20"/>
                <w:szCs w:val="20"/>
              </w:rPr>
              <w:t xml:space="preserve">Every change to financial data is recorded — by whom, when, and from where.</w:t>
            </w:r>
          </w:p>
        </w:tc>
      </w:tr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Audit trail service: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central service writes immutable audit records on every posting, approval, override, and configuration change.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Override audit page: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every user override (manual amount edit, account override, period override) is auditable from the UI.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Data-quality page: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real-time view of validation failures, unposted journals, and uncleared advances.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Audit trail viewer: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searchable, exportable interface for internal audit teams.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Tracked-change retention: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records retained per the Public Records Act timelines.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DRF exception handler: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all unhandled errors are normalised and logged centrally with request context.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18 · Security, RBAC &amp; Segregation of Duties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Identity, authorisation, and SoD enforcement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i/>
                <w:iCs/>
                <w:color w:val="D9E2F0"/>
                <w:sz w:val="20"/>
                <w:szCs w:val="20"/>
              </w:rPr>
              <w:t xml:space="preserve">Granular permissions enforced server-side at every viewset.</w:t>
            </w:r>
          </w:p>
        </w:tc>
      </w:tr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Role management: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roles with permission trees; per-tenant role assignment.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Permission tree picker: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UI lets admins compose granular permissions without raw permission codes.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User-role assignments: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per-MDA scoping; assignments are audited.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Segregation of Duties rules: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declarative rules block conflicting actions (e.g. cannot both create and approve the same warrant).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Centralised SoD evaluator: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 single service evaluates SoD across modules; SoDViolation maps to HTTP 403 via global handler.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MFA: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TOTP-based MFA with enrollment check that fails closed (no fails-open enrollment bypass).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HttpOnly cookie sessions: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opt-in cookie-based auth alongside DRF Token; CORS-aware, CSRF-protected.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Token expiry: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ExpiringTokenAuthentication with configurable AUTH_COOKIE_MAX_AGE separate from token TTL.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File-type validation: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magic-byte (not extension) validation on contract document uploads.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Field-level serializer scoping: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no fields = "__all__" on sensitive serializers; whitelist-only.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19 · Multi-tenancy &amp; SaaS Superadmin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Operate many governments from one platform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i/>
                <w:iCs/>
                <w:color w:val="D9E2F0"/>
                <w:sz w:val="20"/>
                <w:szCs w:val="20"/>
              </w:rPr>
              <w:t xml:space="preserve">Schema isolation plus a dedicated cross-tenant operator console.</w:t>
            </w:r>
          </w:p>
        </w:tc>
      </w:tr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Tenant registry: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public-schema model holding tenant metadata, plan, billing, and provisioning status.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Tenant provisioning: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creates the schema, runs shared and tenant migrations, and seeds defaults from JSON (no Python literals).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Tenant defaults seeder: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currencies, NCoA segments, approval templates, tax codes, and fiscal-year defaults seeded per tenant.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Backfill command: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management command brings older tenants up to current seed level — re-runnable, idempotent.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Superadmin Dashboard: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platform-level overview: tenants, users, billing, system health.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Tenants tab: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provision, suspend, archive, and impersonate tenants.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Plans &amp; Billing tabs: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subscription plans, billing cycles, invoices, and payment history.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Modules tab: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per-tenant module enablement (e.g. enable Contracts only for States that need it).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Email templates tab: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tenant-customisable transactional emails.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Announcements tab: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system-wide banner messages to tenants.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API keys &amp; webhooks: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per-tenant API access for third-party integrators.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Audit logs tab: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cross-tenant audit log inspection (privileged).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System health tab: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platform-level health checks, queue depth, and error rate.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Support tab: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ticket queue with impersonation banner so operators know when they’re acting as a tenant user.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20 · Employee Self-Service Portal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0F4C8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Reduce HR ticket volume</w:t>
            </w:r>
          </w:p>
        </w:tc>
      </w:tr>
      <w:tr>
        <w:tc>
          <w:tcPr>
            <w:tcW w:type="dxa" w:w="10080"/>
            <w:tcBorders>
              <w:top w:val="single" w:color="0F4C81" w:sz="1"/>
              <w:left w:val="single" w:color="0F4C81" w:sz="1"/>
              <w:bottom w:val="single" w:color="0F4C81" w:sz="1"/>
              <w:right w:val="single" w:color="0F4C81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My Dashboard: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personal landing page with leave balances, next payday, and pending tasks.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My Profile: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view and request changes to personal data.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My Payslips: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monthly payslip download with deduction breakdown.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My Leave: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apply for leave, view balance, and track approval status.</w:t>
            </w:r>
          </w:p>
          <w:p>
            <w:pPr>
              <w:spacing w:after="8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C7973F"/>
                <w:sz w:val="22"/>
                <w:szCs w:val="22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My Documents: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employee-specific document vault (offer letter, ID card, statutory certificates).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4C81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0F4C81"/>
          <w:sz w:val="36"/>
          <w:szCs w:val="36"/>
        </w:rPr>
        <w:t xml:space="preserve">Security &amp; Compliance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Quot PSA is designed for the threat model of a public-sector treasury — privileged-user collusion, insider data exfiltration, and statutory audit obligations. Security controls are implemented in defence-in-depth, not as a single perimeter.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Identity &amp;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Multi-factor authentication (TOTP) with fails-closed enrollment evaluation.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Per-tenant Role-Based Access Control with permission trees and MDA scoping.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Segregation of Duties (SoD) enforced centrally; violations return HTTP 403 with audit 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HttpOnly cookie sessions with configurable session lifetime, alongside token auth for service accounts.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Impersonation banner makes superadmin operating-as-tenant always visible.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Data integrity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Per-tenant schema isolation enforced at the database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Posting idempotency via unique (source_module, source_document_id) index.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Row-level locking (select_for_update) on warrants, IPCs, mobilisation, bulk approvals, and TSA reconciliation.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Fiscal-period gating on every journal action — post, reverse, and unpost all check period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silent failures: WHT exemptions, payroll cost-centre allocation, year-end close, and IPSAS revenue-budget rolls all raise explicit errors instead of swallowing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Magic-byte file-type validation on document uploads.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Audit &amp; traceability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Central audit trail service with immutable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User overrides explicitly recorded and viewable in the Override Audit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Data quality page surfaces validation failures and uncleared items in real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Structured JSON logging with request context for downstream SIEM ingestion.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Regulatory alignment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Nigeria Integrated Financial Management Information System (IFMIS) framework.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International Public Sector Accounting Standards (IPSAS) — Cash Basis and Accrual.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Government Finance Statistics (GFS) 2014 classification.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Public Procurement Act (BPP) procurement methods.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Pension Reform Act 2014 — employer/employee remittance to PFAs.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Personal Income Tax Act — PAYE bands and reliefs.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Finance (Control and Management) Act — statutory reporting to OAGF, OAuGF, CBN, FIRS, Budget Office.</w:t>
      </w:r>
    </w:p>
    <w:p>
      <w:r>
        <w:br w:type="page"/>
      </w:r>
    </w:p>
    <w:p>
      <w:pPr>
        <w:pStyle w:val="Heading1"/>
        <w:pBdr>
          <w:bottom w:val="single" w:color="0F4C81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0F4C81"/>
          <w:sz w:val="36"/>
          <w:szCs w:val="36"/>
        </w:rPr>
        <w:t xml:space="preserve">Deployment &amp; Operations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Deployment models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On-premise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Federal or State data centre deployment on AlmaLinux / RHEL. Air-gapped option for classified treasury data.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Private cloud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Customer-managed VPC on AWS, Azure, or GCP with network isolation.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Managed SaaS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Quot-hosted multi-tenant deployment with per-tenant schema isolation, included DR.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Hybrid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Treasury core on-prem, ancillary modules (HRM portal, reporting) in cloud.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Operational tooling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Operator Runbook with step-by-step incident, fail-over, and rollback procedures.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Tenant onboarding runbook — target onboarding time 30 minutes.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Quarterly Disaster Recovery drill procedure.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AlmaLinux production playbook with Gunicorn, Nginx, PgBouncer pooling.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Docker and docker-compose for reproducible local and staging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Management commands for re-running failed payment cascades, seed backfills, and report regeneration.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Performance &amp; scale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PostgreSQL 15 with PgBouncer connection pooling for thousands of concurrent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Redis-backed report caching for long-running statutory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Celery workers for depreciation runs, bank reconciliation, and statutory report generation.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Frontend code-splitting on every top-level route for fast first-paint on government-network latency.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4C81"/>
          <w:sz w:val="28"/>
          <w:szCs w:val="28"/>
        </w:rPr>
        <w:t xml:space="preserve">Documentation included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Functional specification (spec.md).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Integration architecture document (cross-module contracts).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User guide for tenant operators.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Contracts and IPC payment-flow walkthrough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Implementation task flow (sprint build log).</w:t>
      </w:r>
    </w:p>
    <w:p>
      <w:r>
        <w:br w:type="page"/>
      </w:r>
    </w:p>
    <w:p>
      <w:pPr>
        <w:pStyle w:val="Heading1"/>
        <w:pBdr>
          <w:bottom w:val="single" w:color="0F4C81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0F4C81"/>
          <w:sz w:val="36"/>
          <w:szCs w:val="36"/>
        </w:rPr>
        <w:t xml:space="preserve">In Summary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Quot PSA replaces the patchwork of spreadsheets, legacy IFMIS terminals, and bolted-on private-sector ERPs that most governments operate today. It does so without compromise on the controls that public money requires: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Pillar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means in practice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Control at commitment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expenditure ever bypasses the appropriation. The system blocks over-commitment at the order, not after the invoice arrives.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Statutory by default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IPSAS, GFS 2014, COFOG, and Nigeria IFMIS are not optional configurations — they are the data model.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Audit-grade traceability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Every change is recorded, attributed, and immutable. Override actions are first-class auditable events.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Multi-tenant by design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 single deployment can host an entire federation of governments with absolute data isolation.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4C81"/>
                <w:sz w:val="20"/>
                <w:szCs w:val="20"/>
              </w:rPr>
              <w:t xml:space="preserve">Operator-ready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Runbooks, DR drills, structured logs, and self-service portals are part of the product, not after-thoughts.</w:t>
            </w:r>
          </w:p>
        </w:tc>
      </w:tr>
    </w:tbl>
    <w:p>
      <w:pPr>
        <w:spacing w:after="400"/>
      </w:pPr>
      <w:r>
        <w:t xml:space="preserve"/>
      </w:r>
    </w:p>
    <w:p>
      <w:pPr>
        <w:spacing w:after="200" w:before="600"/>
        <w:jc w:val="center"/>
      </w:pPr>
      <w:r>
        <w:rPr>
          <w:rFonts w:ascii="Calibri" w:cs="Calibri" w:eastAsia="Calibri" w:hAnsi="Calibri"/>
          <w:b/>
          <w:bCs/>
          <w:color w:val="0F4C81"/>
          <w:sz w:val="32"/>
          <w:szCs w:val="32"/>
        </w:rPr>
        <w:t xml:space="preserve">Talk to us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Quot Technologies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A5A5A"/>
          <w:sz w:val="22"/>
          <w:szCs w:val="22"/>
        </w:rPr>
        <w:t xml:space="preserve">github.com/oosadiaye/Quot-PSA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For demonstrations, RFP submissions, and pilot deployments.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4"/>
      </w:pBdr>
      <w:tabs>
        <w:tab w:val="right" w:pos="10080"/>
      </w:tabs>
    </w:pPr>
    <w:r>
      <w:rPr>
        <w:rFonts w:ascii="Calibri" w:cs="Calibri" w:eastAsia="Calibri" w:hAnsi="Calibri"/>
        <w:color w:val="5A5A5A"/>
        <w:sz w:val="16"/>
        <w:szCs w:val="16"/>
      </w:rPr>
      <w:t xml:space="preserve">© Quot Technologies — Proprietary</w:t>
    </w:r>
    <w:r>
      <w:rPr>
        <w:rFonts w:ascii="Calibri" w:cs="Calibri" w:eastAsia="Calibri" w:hAnsi="Calibri"/>
        <w:color w:val="5A5A5A"/>
        <w:sz w:val="16"/>
        <w:szCs w:val="16"/>
      </w:rPr>
      <w:t xml:space="preserve">	Page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5A5A"/>
        <w:sz w:val="16"/>
        <w:szCs w:val="16"/>
      </w:rPr>
      <w:t xml:space="preserve"> of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4C81" w:sz="6" w:space="4"/>
      </w:pBdr>
      <w:tabs>
        <w:tab w:val="right" w:pos="10080"/>
      </w:tabs>
    </w:pPr>
    <w:r>
      <w:rPr>
        <w:rFonts w:ascii="Calibri" w:cs="Calibri" w:eastAsia="Calibri" w:hAnsi="Calibri"/>
        <w:b/>
        <w:bCs/>
        <w:color w:val="0F4C81"/>
        <w:spacing w:val="30"/>
        <w:sz w:val="18"/>
        <w:szCs w:val="18"/>
      </w:rPr>
      <w:t xml:space="preserve">QUOT PSA</w:t>
    </w:r>
    <w:r>
      <w:rPr>
        <w:rFonts w:ascii="Calibri" w:cs="Calibri" w:eastAsia="Calibri" w:hAnsi="Calibri"/>
        <w:i/>
        <w:iCs/>
        <w:color w:val="5A5A5A"/>
        <w:sz w:val="18"/>
        <w:szCs w:val="18"/>
      </w:rPr>
      <w:t xml:space="preserve">	Feature Brochure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C7973F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F4C8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0F4C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C7973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 PSA — Feature Brochure</dc:title>
  <dc:creator>Quot Technologies</dc:creator>
  <dc:description>Comprehensive feature brochure for the Quot Public Sector Accounting platform.</dc:description>
  <cp:lastModifiedBy>Un-named</cp:lastModifiedBy>
  <cp:revision>1</cp:revision>
  <dcterms:created xsi:type="dcterms:W3CDTF">2026-06-01T21:33:16.327Z</dcterms:created>
  <dcterms:modified xsi:type="dcterms:W3CDTF">2026-06-01T21:33:16.328Z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