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d3f443b8e54cabe5fe3c16b2b9fa9c3de1356f"/>
    <w:p>
      <w:pPr>
        <w:pStyle w:val="Heading1"/>
      </w:pPr>
      <w:r>
        <w:t xml:space="preserve">Indicative Cost &amp; Bill of Materials (BOM) — OAG Delta · QUOT PSA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07/06/2026 ·</w:t>
      </w:r>
      <w:r>
        <w:t xml:space="preserve"> </w:t>
      </w:r>
      <w:r>
        <w:rPr>
          <w:b/>
          <w:bCs/>
        </w:rPr>
        <w:t xml:space="preserve">Currency:</w:t>
      </w:r>
      <w:r>
        <w:t xml:space="preserve"> </w:t>
      </w:r>
      <w:r>
        <w:t xml:space="preserve">NGN (USD shown for import‑priced hardware @ ~₦1,550/US$)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Indicative only.</w:t>
      </w:r>
      <w:r>
        <w:t xml:space="preserve"> </w:t>
      </w:r>
      <w:r>
        <w:t xml:space="preserve">Hardware/cloud figures are planning estimates and</w:t>
      </w:r>
      <w:r>
        <w:t xml:space="preserve"> </w:t>
      </w:r>
      <w:r>
        <w:rPr>
          <w:b/>
          <w:bCs/>
        </w:rPr>
        <w:t xml:space="preserve">require formal vendor quotes</w:t>
      </w:r>
      <w:r>
        <w:t xml:space="preserve">. Lines marked</w:t>
      </w:r>
      <w:r>
        <w:t xml:space="preserve"> </w:t>
      </w:r>
      <w:r>
        <w:rPr>
          <w:b/>
          <w:bCs/>
        </w:rPr>
        <w:t xml:space="preserve">[Vendor commercial]</w:t>
      </w:r>
      <w:r>
        <w:t xml:space="preserve"> </w:t>
      </w:r>
      <w:r>
        <w:t xml:space="preserve">(software licence, implementation, migration, training, support) are set in the vendor’s commercial proposal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estimated here. Final sizing depends on confirmed</w:t>
      </w:r>
      <w:r>
        <w:t xml:space="preserve"> </w:t>
      </w:r>
      <w:r>
        <w:rPr>
          <w:b/>
          <w:bCs/>
        </w:rPr>
        <w:t xml:space="preserve">user counts, data volumes, and facility readiness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3db6bc722f4d554009a94f1b05371700d9dbb83"/>
    <w:p>
      <w:pPr>
        <w:pStyle w:val="Heading2"/>
      </w:pPr>
      <w:r>
        <w:t xml:space="preserve">A. One‑Time — Hardware &amp; Facility (Scenario ① On‑Premise Primary)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Spec (summary)</w:t>
            </w:r>
          </w:p>
        </w:tc>
        <w:tc>
          <w:tcPr/>
          <w:p>
            <w:pPr>
              <w:pStyle w:val="Compact"/>
            </w:pPr>
            <w:r>
              <w:t xml:space="preserve">Indicative NGN</w:t>
            </w:r>
          </w:p>
        </w:tc>
        <w:tc>
          <w:tcPr/>
          <w:p>
            <w:pPr>
              <w:pStyle w:val="Compact"/>
            </w:pPr>
            <w:r>
              <w:t xml:space="preserve">USD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Application/DB server</w:t>
            </w:r>
          </w:p>
        </w:tc>
        <w:tc>
          <w:tcPr/>
          <w:p>
            <w:pPr>
              <w:pStyle w:val="Compact"/>
            </w:pPr>
            <w:r>
              <w:t xml:space="preserve">Dell R760 / HPE DL380 Gen11 · Xeon Gold (high‑clock) · 128 GB ECC DDR5 · NVMe RAID‑10 (DB) + RAID‑1 (OS) · redundant PSU · dual 10 GbE</w:t>
            </w:r>
          </w:p>
        </w:tc>
        <w:tc>
          <w:tcPr/>
          <w:p>
            <w:pPr>
              <w:pStyle w:val="Compact"/>
            </w:pPr>
            <w:r>
              <w:t xml:space="preserve">₦9,000,000 – 18,000,000</w:t>
            </w:r>
          </w:p>
        </w:tc>
        <w:tc>
          <w:tcPr/>
          <w:p>
            <w:pPr>
              <w:pStyle w:val="Compact"/>
            </w:pPr>
            <w:r>
              <w:t xml:space="preserve">$6k–12k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Online UPS (double‑conversion)</w:t>
            </w:r>
          </w:p>
        </w:tc>
        <w:tc>
          <w:tcPr/>
          <w:p>
            <w:pPr>
              <w:pStyle w:val="Compact"/>
            </w:pPr>
            <w:r>
              <w:t xml:space="preserve">6 kVA + extended batteries, 30–60 min runtime</w:t>
            </w:r>
          </w:p>
        </w:tc>
        <w:tc>
          <w:tcPr/>
          <w:p>
            <w:pPr>
              <w:pStyle w:val="Compact"/>
            </w:pPr>
            <w:r>
              <w:t xml:space="preserve">₦1,500,000 – 3,500,000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Standby generator + ATS</w:t>
            </w:r>
            <w:r>
              <w:t xml:space="preserve"> </w:t>
            </w:r>
            <w:r>
              <w:rPr>
                <w:i/>
                <w:iCs/>
              </w:rPr>
              <w:t xml:space="preserve">(if not already available)</w:t>
            </w:r>
          </w:p>
        </w:tc>
        <w:tc>
          <w:tcPr/>
          <w:p>
            <w:pPr>
              <w:pStyle w:val="Compact"/>
            </w:pPr>
            <w:r>
              <w:t xml:space="preserve">~15–20 kVA, automatic change‑over</w:t>
            </w:r>
          </w:p>
        </w:tc>
        <w:tc>
          <w:tcPr/>
          <w:p>
            <w:pPr>
              <w:pStyle w:val="Compact"/>
            </w:pPr>
            <w:r>
              <w:t xml:space="preserve">₦3,500,000 – 9,000,000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Backup NAS</w:t>
            </w:r>
          </w:p>
        </w:tc>
        <w:tc>
          <w:tcPr/>
          <w:p>
            <w:pPr>
              <w:pStyle w:val="Compact"/>
            </w:pPr>
            <w:r>
              <w:t xml:space="preserve">RAID, ≥8–16 TB usable (local nightly backups)</w:t>
            </w:r>
          </w:p>
        </w:tc>
        <w:tc>
          <w:tcPr/>
          <w:p>
            <w:pPr>
              <w:pStyle w:val="Compact"/>
            </w:pPr>
            <w:r>
              <w:t xml:space="preserve">₦1,000,000 – 2,500,000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Firewall / UTM</w:t>
            </w:r>
          </w:p>
        </w:tc>
        <w:tc>
          <w:tcPr/>
          <w:p>
            <w:pPr>
              <w:pStyle w:val="Compact"/>
            </w:pPr>
            <w:r>
              <w:t xml:space="preserve">FortiGate/Sophos class + 1‑yr security licence</w:t>
            </w:r>
          </w:p>
        </w:tc>
        <w:tc>
          <w:tcPr/>
          <w:p>
            <w:pPr>
              <w:pStyle w:val="Compact"/>
            </w:pPr>
            <w:r>
              <w:t xml:space="preserve">₦1,500,000 – 4,000,000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Network &amp; server‑room provisioning</w:t>
            </w:r>
          </w:p>
        </w:tc>
        <w:tc>
          <w:tcPr/>
          <w:p>
            <w:pPr>
              <w:pStyle w:val="Compact"/>
            </w:pPr>
            <w:r>
              <w:t xml:space="preserve">Managed switch, rack, cabling, cooling (AC), access control</w:t>
            </w:r>
          </w:p>
        </w:tc>
        <w:tc>
          <w:tcPr/>
          <w:p>
            <w:pPr>
              <w:pStyle w:val="Compact"/>
            </w:pPr>
            <w:r>
              <w:t xml:space="preserve">₦1,500,000 – 4,000,000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Hardware &amp; Facility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₦18,000,000 – 41,000,000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If OAG already has generator/cooling/rack, deduct items 3 and part of 6.</w:t>
      </w:r>
    </w:p>
    <w:p>
      <w:r>
        <w:pict>
          <v:rect style="width:0;height:1.5pt" o:hralign="center" o:hrstd="t" o:hr="t"/>
        </w:pict>
      </w:r>
    </w:p>
    <w:bookmarkEnd w:id="9"/>
    <w:bookmarkStart w:id="10" w:name="Xd520e01ba170979695094f934c4193466923f76"/>
    <w:p>
      <w:pPr>
        <w:pStyle w:val="Heading2"/>
      </w:pPr>
      <w:r>
        <w:t xml:space="preserve">B. Recurring — Infrastructure (per scenario, annual)</w:t>
      </w:r>
    </w:p>
    <w:p>
      <w:pPr>
        <w:pStyle w:val="FirstParagraph"/>
      </w:pPr>
      <w:r>
        <w:rPr>
          <w:b/>
          <w:bCs/>
        </w:rPr>
        <w:t xml:space="preserve">Scenario ① — On‑prem primary + Nigerian cloud DR (warm standby + backups):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Indicative NGN / 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DR (Nigerian Tier‑III)</w:t>
            </w:r>
          </w:p>
        </w:tc>
        <w:tc>
          <w:tcPr/>
          <w:p>
            <w:pPr>
              <w:pStyle w:val="Compact"/>
            </w:pPr>
            <w:r>
              <w:t xml:space="preserve">Warm standby (smaller than primary) + object storage + encrypted backups</w:t>
            </w:r>
          </w:p>
        </w:tc>
        <w:tc>
          <w:tcPr/>
          <w:p>
            <w:pPr>
              <w:pStyle w:val="Compact"/>
            </w:pPr>
            <w:r>
              <w:t xml:space="preserve">₦3,000,000 – 7,200,000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① (annual)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₦3,000,000 – 7,200,000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Scenario ② — Nigerian sovereign‑cloud primary + on‑prem local backup: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Indicative NGN / 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production</w:t>
            </w:r>
          </w:p>
        </w:tc>
        <w:tc>
          <w:tcPr/>
          <w:p>
            <w:pPr>
              <w:pStyle w:val="Compact"/>
            </w:pPr>
            <w:r>
              <w:t xml:space="preserve">App (8–16 vCPU) + PostgreSQL (8 vCPU/32–64 GB/NVMe) + Redis + object storage + snapshots, ≥99.9% SLA</w:t>
            </w:r>
          </w:p>
        </w:tc>
        <w:tc>
          <w:tcPr/>
          <w:p>
            <w:pPr>
              <w:pStyle w:val="Compact"/>
            </w:pPr>
            <w:r>
              <w:t xml:space="preserve">₦7,200,000 – 18,000,000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 ISP at OAG (resilience)</w:t>
            </w:r>
          </w:p>
        </w:tc>
        <w:tc>
          <w:tcPr/>
          <w:p>
            <w:pPr>
              <w:pStyle w:val="Compact"/>
            </w:pPr>
            <w:r>
              <w:t xml:space="preserve">Two independent links</w:t>
            </w:r>
          </w:p>
        </w:tc>
        <w:tc>
          <w:tcPr/>
          <w:p>
            <w:pPr>
              <w:pStyle w:val="Compact"/>
            </w:pPr>
            <w:r>
              <w:t xml:space="preserve">₦1,800,000 – 4,800,000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On‑prem local backup (one‑time)</w:t>
            </w:r>
          </w:p>
        </w:tc>
        <w:tc>
          <w:tcPr/>
          <w:p>
            <w:pPr>
              <w:pStyle w:val="Compact"/>
            </w:pPr>
            <w:r>
              <w:t xml:space="preserve">NAS + small UPS</w:t>
            </w:r>
            <w:r>
              <w:t xml:space="preserve"> </w:t>
            </w:r>
            <w:r>
              <w:rPr>
                <w:i/>
                <w:iCs/>
              </w:rPr>
              <w:t xml:space="preserve">(one‑time, see A4)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(one‑time)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② (annual)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₦9,000,000 – 22,800,000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26f8726cfa83be8c5cd5ae32785a408cd61c190"/>
    <w:p>
      <w:pPr>
        <w:pStyle w:val="Heading2"/>
      </w:pPr>
      <w:r>
        <w:t xml:space="preserve">C. Software, Implementation &amp; Services</w:t>
      </w:r>
      <w:r>
        <w:t xml:space="preserve"> </w:t>
      </w:r>
      <w:r>
        <w:rPr>
          <w:i/>
          <w:iCs/>
        </w:rPr>
        <w:t xml:space="preserve">(vendor commercial — insert figures)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 PSA platform licence</w:t>
            </w:r>
          </w:p>
        </w:tc>
        <w:tc>
          <w:tcPr/>
          <w:p>
            <w:pPr>
              <w:pStyle w:val="Compact"/>
            </w:pPr>
            <w:r>
              <w:t xml:space="preserve">Per named user / per department / annual subscription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[Vendor commercial]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&amp; configuration</w:t>
            </w:r>
          </w:p>
        </w:tc>
        <w:tc>
          <w:tcPr/>
          <w:p>
            <w:pPr>
              <w:pStyle w:val="Compact"/>
            </w:pPr>
            <w:r>
              <w:t xml:space="preserve">4 functions (Mgmt Acct, Treasury, Final Reporting, Document Control)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[Vendor commercial]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(Odoo → QUOT PSA)</w:t>
            </w:r>
          </w:p>
        </w:tc>
        <w:tc>
          <w:tcPr/>
          <w:p>
            <w:pPr>
              <w:pStyle w:val="Compact"/>
            </w:pPr>
            <w:r>
              <w:t xml:space="preserve">COA→NCoA mapping, balances, open items, contracts, parallel 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[Vendor commercial]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Role‑based, 4 functions +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[Vendor commercial]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support &amp; maintenance</w:t>
            </w:r>
          </w:p>
        </w:tc>
        <w:tc>
          <w:tcPr/>
          <w:p>
            <w:pPr>
              <w:pStyle w:val="Compact"/>
            </w:pPr>
            <w:r>
              <w:t xml:space="preserve">Typically 18–22% of licence/yr (SLA‑backed)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[Vendor commercial]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Hypercare (post‑go‑live)</w:t>
            </w:r>
          </w:p>
        </w:tc>
        <w:tc>
          <w:tcPr/>
          <w:p>
            <w:pPr>
              <w:pStyle w:val="Compact"/>
            </w:pPr>
            <w:r>
              <w:t xml:space="preserve">4–8 weeks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[Vendor commercial]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.-cost-shape-summary-planning-view"/>
    <w:p>
      <w:pPr>
        <w:pStyle w:val="Heading2"/>
      </w:pPr>
      <w:r>
        <w:t xml:space="preserve">D. Cost Shape Summary (planning 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Scenario ① On‑prem + Cloud DR</w:t>
            </w:r>
          </w:p>
        </w:tc>
        <w:tc>
          <w:tcPr/>
          <w:p>
            <w:pPr>
              <w:pStyle w:val="Compact"/>
            </w:pPr>
            <w:r>
              <w:t xml:space="preserve">Scenario ② Cloud‑primary + local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One‑time hardware/facility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₦18M – 41M</w:t>
            </w:r>
            <w:r>
              <w:t xml:space="preserve"> </w:t>
            </w:r>
            <w:r>
              <w:t xml:space="preserve">(+ NAS)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₦2M – 5M</w:t>
            </w:r>
            <w:r>
              <w:t xml:space="preserve"> </w:t>
            </w:r>
            <w:r>
              <w:t xml:space="preserve">(NAS + small UPS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 infrastructure / yr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₦3M – 7.2M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₦9M – 22.8M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Software/implementation/support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[Vendor commercial]</w:t>
            </w:r>
            <w:r>
              <w:t xml:space="preserve"> </w:t>
            </w:r>
            <w:r>
              <w:t xml:space="preserve">(same either way)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[Vendor commercial]</w:t>
            </w:r>
            <w:r>
              <w:t xml:space="preserve"> </w:t>
            </w:r>
            <w:r>
              <w:t xml:space="preserve">(same either 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3‑yr infra TCO (excl. licence)</w:t>
            </w:r>
          </w:p>
        </w:tc>
        <w:tc>
          <w:tcPr/>
          <w:p>
            <w:pPr>
              <w:pStyle w:val="Compact"/>
            </w:pPr>
            <w:r>
              <w:t xml:space="preserve">≈ ₦27M – 63M</w:t>
            </w:r>
          </w:p>
        </w:tc>
        <w:tc>
          <w:tcPr/>
          <w:p>
            <w:pPr>
              <w:pStyle w:val="Compact"/>
            </w:pPr>
            <w:r>
              <w:t xml:space="preserve">≈ ₦29M – 73M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when…</w:t>
            </w:r>
          </w:p>
        </w:tc>
        <w:tc>
          <w:tcPr/>
          <w:p>
            <w:pPr>
              <w:pStyle w:val="Compact"/>
            </w:pPr>
            <w:r>
              <w:t xml:space="preserve">OAG has server room + power</w:t>
            </w:r>
          </w:p>
        </w:tc>
        <w:tc>
          <w:tcPr/>
          <w:p>
            <w:pPr>
              <w:pStyle w:val="Compact"/>
            </w:pPr>
            <w:r>
              <w:t xml:space="preserve">Facility/power not yet ready</w:t>
            </w:r>
          </w:p>
        </w:tc>
      </w:tr>
    </w:tbl>
    <w:p>
      <w:pPr>
        <w:pStyle w:val="BlockText"/>
      </w:pPr>
      <w:r>
        <w:t xml:space="preserve">Over 3–5 years,</w:t>
      </w:r>
      <w:r>
        <w:t xml:space="preserve"> </w:t>
      </w:r>
      <w:r>
        <w:rPr>
          <w:b/>
          <w:bCs/>
        </w:rPr>
        <w:t xml:space="preserve">Scenario ①</w:t>
      </w:r>
      <w:r>
        <w:t xml:space="preserve"> </w:t>
      </w:r>
      <w:r>
        <w:t xml:space="preserve">typically has the</w:t>
      </w:r>
      <w:r>
        <w:t xml:space="preserve"> </w:t>
      </w:r>
      <w:r>
        <w:rPr>
          <w:b/>
          <w:bCs/>
        </w:rPr>
        <w:t xml:space="preserve">lower total infrastructure cost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higher sovereignty/performance</w:t>
      </w:r>
      <w:r>
        <w:t xml:space="preserve">, provided OAG can host a secure, well‑powered server room.</w:t>
      </w:r>
      <w:r>
        <w:t xml:space="preserve"> </w:t>
      </w:r>
      <w:r>
        <w:rPr>
          <w:b/>
          <w:bCs/>
        </w:rPr>
        <w:t xml:space="preserve">Scenario ②</w:t>
      </w:r>
      <w:r>
        <w:t xml:space="preserve"> </w:t>
      </w:r>
      <w:r>
        <w:t xml:space="preserve">trades higher recurring spend for</w:t>
      </w:r>
      <w:r>
        <w:t xml:space="preserve"> </w:t>
      </w:r>
      <w:r>
        <w:rPr>
          <w:b/>
          <w:bCs/>
        </w:rPr>
        <w:t xml:space="preserve">lowest upfront cost and fastest start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e.-assumptions"/>
    <w:p>
      <w:pPr>
        <w:pStyle w:val="Heading2"/>
      </w:pPr>
      <w:r>
        <w:t xml:space="preserve">E. Assumptions</w:t>
      </w:r>
    </w:p>
    <w:p>
      <w:pPr>
        <w:pStyle w:val="Compact"/>
        <w:numPr>
          <w:ilvl w:val="0"/>
          <w:numId w:val="1001"/>
        </w:numPr>
      </w:pPr>
      <w:r>
        <w:t xml:space="preserve">~50–200 named users across the four functions; sizing tuned at discovery.</w:t>
      </w:r>
    </w:p>
    <w:p>
      <w:pPr>
        <w:pStyle w:val="Compact"/>
        <w:numPr>
          <w:ilvl w:val="0"/>
          <w:numId w:val="1001"/>
        </w:numPr>
      </w:pPr>
      <w:r>
        <w:t xml:space="preserve">Hardware import‑priced; FX at ~₦1,550/US$ (volatile — confirm at quote time).</w:t>
      </w:r>
    </w:p>
    <w:p>
      <w:pPr>
        <w:pStyle w:val="Compact"/>
        <w:numPr>
          <w:ilvl w:val="0"/>
          <w:numId w:val="1001"/>
        </w:numPr>
      </w:pPr>
      <w:r>
        <w:t xml:space="preserve">Existing generator/cooling/rack reduce Scenario ① one‑time cost.</w:t>
      </w:r>
    </w:p>
    <w:p>
      <w:pPr>
        <w:pStyle w:val="Compact"/>
        <w:numPr>
          <w:ilvl w:val="0"/>
          <w:numId w:val="1001"/>
        </w:numPr>
      </w:pPr>
      <w:r>
        <w:t xml:space="preserve">Licence/implementation/support are</w:t>
      </w:r>
      <w:r>
        <w:t xml:space="preserve"> </w:t>
      </w:r>
      <w:r>
        <w:rPr>
          <w:b/>
          <w:bCs/>
        </w:rPr>
        <w:t xml:space="preserve">vendor commercials</w:t>
      </w:r>
      <w:r>
        <w:t xml:space="preserve">, identical across deployment scenarios.</w:t>
      </w:r>
    </w:p>
    <w:p>
      <w:pPr>
        <w:pStyle w:val="Compact"/>
        <w:numPr>
          <w:ilvl w:val="0"/>
          <w:numId w:val="1001"/>
        </w:numPr>
      </w:pPr>
      <w:r>
        <w:t xml:space="preserve">Prices exclude VAT/duties and any required network upgrades beyond those listed.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2026-06-07T21:53:51Z</dcterms:created>
  <dcterms:modified xsi:type="dcterms:W3CDTF">2026-06-07T21:53:51Z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