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63b84f155cd1a5147c5bc41c75acfdf2c8154e"/>
    <w:p>
      <w:pPr>
        <w:pStyle w:val="Heading1"/>
      </w:pPr>
      <w:r>
        <w:t xml:space="preserve">Executive Summary — Upgrade from Odoo to QUOT PSA</w:t>
      </w:r>
    </w:p>
    <w:p>
      <w:pPr>
        <w:pStyle w:val="FirstParagraph"/>
      </w:pPr>
      <w:r>
        <w:rPr>
          <w:b/>
          <w:bCs/>
        </w:rPr>
        <w:t xml:space="preserve">Office of the Accountant‑General (OAG), Delta State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07/06/2026</w:t>
      </w:r>
    </w:p>
    <w:bookmarkStart w:id="9" w:name="the-opportunity"/>
    <w:p>
      <w:pPr>
        <w:pStyle w:val="Heading2"/>
      </w:pPr>
      <w:r>
        <w:t xml:space="preserve">The Opportunity</w:t>
      </w:r>
    </w:p>
    <w:p>
      <w:pPr>
        <w:pStyle w:val="FirstParagraph"/>
      </w:pPr>
      <w:r>
        <w:t xml:space="preserve">The OAG runs</w:t>
      </w:r>
      <w:r>
        <w:t xml:space="preserve"> </w:t>
      </w:r>
      <w:r>
        <w:rPr>
          <w:b/>
          <w:bCs/>
        </w:rPr>
        <w:t xml:space="preserve">Odoo</w:t>
      </w:r>
      <w:r>
        <w:t xml:space="preserve"> </w:t>
      </w:r>
      <w:r>
        <w:t xml:space="preserve">for accounting in</w:t>
      </w:r>
      <w:r>
        <w:t xml:space="preserve"> </w:t>
      </w:r>
      <w:r>
        <w:rPr>
          <w:b/>
          <w:bCs/>
        </w:rPr>
        <w:t xml:space="preserve">one office (final reporting only)</w:t>
      </w:r>
      <w:r>
        <w:t xml:space="preserve">. This proposal upgrades the OAG to</w:t>
      </w:r>
      <w:r>
        <w:t xml:space="preserve"> </w:t>
      </w:r>
      <w:r>
        <w:rPr>
          <w:b/>
          <w:bCs/>
        </w:rPr>
        <w:t xml:space="preserve">QUOT PSA</w:t>
      </w:r>
      <w:r>
        <w:t xml:space="preserve"> </w:t>
      </w:r>
      <w:r>
        <w:t xml:space="preserve">— a purpose‑built,</w:t>
      </w:r>
      <w:r>
        <w:t xml:space="preserve"> </w:t>
      </w:r>
      <w:r>
        <w:rPr>
          <w:b/>
          <w:bCs/>
        </w:rPr>
        <w:t xml:space="preserve">IPSAS‑compliant, GIFMIS‑aligned</w:t>
      </w:r>
      <w:r>
        <w:t xml:space="preserve"> </w:t>
      </w:r>
      <w:r>
        <w:t xml:space="preserve">public‑sector accounting platform — and extends it across</w:t>
      </w:r>
      <w:r>
        <w:t xml:space="preserve"> </w:t>
      </w:r>
      <w:r>
        <w:rPr>
          <w:b/>
          <w:bCs/>
        </w:rPr>
        <w:t xml:space="preserve">four functions in one integrated system</w:t>
      </w:r>
      <w:r>
        <w:t xml:space="preserve">:</w:t>
      </w:r>
      <w:r>
        <w:t xml:space="preserve"> </w:t>
      </w:r>
      <w:r>
        <w:rPr>
          <w:b/>
          <w:bCs/>
        </w:rPr>
        <w:t xml:space="preserve">Management Accounting, Treasury, Final Reporting, and Document Control.</w: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General Ledger &amp; National Chart of Accounts (NCoA) · Budget &amp; Appropriation ·</w:t>
      </w:r>
      <w:r>
        <w:t xml:space="preserve"> </w:t>
      </w:r>
      <w:r>
        <w:rPr>
          <w:b/>
          <w:bCs/>
        </w:rPr>
        <w:t xml:space="preserve">Warrant (AIE)</w:t>
      </w:r>
      <w:r>
        <w:t xml:space="preserve"> </w:t>
      </w:r>
      <w:r>
        <w:t xml:space="preserve">controls · Treasury &amp; Banking (TSA, Payment Vouchers) ·</w:t>
      </w:r>
      <w:r>
        <w:t xml:space="preserve"> </w:t>
      </w:r>
      <w:r>
        <w:rPr>
          <w:b/>
          <w:bCs/>
        </w:rPr>
        <w:t xml:space="preserve">all payment processing</w:t>
      </w:r>
      <w:r>
        <w:t xml:space="preserve"> </w:t>
      </w:r>
      <w:r>
        <w:t xml:space="preserve">· Accounts Payable/Receivable ·</w:t>
      </w:r>
      <w:r>
        <w:t xml:space="preserve"> </w:t>
      </w:r>
      <w:r>
        <w:rPr>
          <w:b/>
          <w:bCs/>
        </w:rPr>
        <w:t xml:space="preserve">Contract Management</w:t>
      </w:r>
      <w:r>
        <w:t xml:space="preserve"> </w:t>
      </w:r>
      <w:r>
        <w:t xml:space="preserve">(mobilization, retention, IPC/valuations, variations) · Fixed Assets ·</w:t>
      </w:r>
      <w:r>
        <w:t xml:space="preserve"> </w:t>
      </w:r>
      <w:r>
        <w:rPr>
          <w:b/>
          <w:bCs/>
        </w:rPr>
        <w:t xml:space="preserve">full IPSAS report suite</w:t>
      </w:r>
      <w:r>
        <w:t xml:space="preserve"> </w:t>
      </w:r>
      <w:r>
        <w:t xml:space="preserve">· Document Control.</w:t>
      </w:r>
      <w:r>
        <w:t xml:space="preserve"> </w:t>
      </w:r>
      <w:r>
        <w:rPr>
          <w:b/>
          <w:bCs/>
        </w:rPr>
        <w:t xml:space="preserve">Out (this phase):</w:t>
      </w:r>
      <w:r>
        <w:t xml:space="preserve"> </w:t>
      </w:r>
      <w:r>
        <w:rPr>
          <w:b/>
          <w:bCs/>
        </w:rPr>
        <w:t xml:space="preserve">Procurement / Purchase Orders (PO)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Human Resources / Payroll (HR)</w:t>
      </w:r>
      <w:r>
        <w:t xml:space="preserve"> </w:t>
      </w:r>
      <w:r>
        <w:t xml:space="preserve">— available later as configuration, not new build.</w:t>
      </w:r>
    </w:p>
    <w:bookmarkEnd w:id="10"/>
    <w:bookmarkStart w:id="11" w:name="why-quot-psa-over-odoo"/>
    <w:p>
      <w:pPr>
        <w:pStyle w:val="Heading2"/>
      </w:pPr>
      <w:r>
        <w:t xml:space="preserve">Why QUOT PSA over Odoo</w:t>
      </w:r>
    </w:p>
    <w:p>
      <w:pPr>
        <w:pStyle w:val="FirstParagraph"/>
      </w:pPr>
      <w:r>
        <w:t xml:space="preserve">Odoo is a general commercial ERP; it does not natively model the</w:t>
      </w:r>
      <w:r>
        <w:t xml:space="preserve"> </w:t>
      </w:r>
      <w:r>
        <w:rPr>
          <w:b/>
          <w:bCs/>
        </w:rPr>
        <w:t xml:space="preserve">Nigerian public‑finance control chain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Appropriation → Warrant/AIE → Commitment → Payment → IPSAS reporting</w:t>
      </w:r>
      <w:r>
        <w:t xml:space="preserve"> </w:t>
      </w:r>
      <w:r>
        <w:t xml:space="preserve">— nor contract certification/mobilization/retention, nor cross‑department segregation of duties.</w:t>
      </w:r>
      <w:r>
        <w:t xml:space="preserve"> </w:t>
      </w:r>
      <w:r>
        <w:rPr>
          <w:b/>
          <w:bCs/>
        </w:rPr>
        <w:t xml:space="preserve">QUOT PSA is built specifically for these</w:t>
      </w:r>
      <w:r>
        <w:t xml:space="preserve">, with the warrant ceiling enforced before cash leaves the Treasury Single Account, full audit trails, and one‑click IPSAS statements.</w:t>
      </w:r>
    </w:p>
    <w:bookmarkEnd w:id="11"/>
    <w:bookmarkStart w:id="12" w:name="deployment-recommended-path"/>
    <w:p>
      <w:pPr>
        <w:pStyle w:val="Heading2"/>
      </w:pPr>
      <w:r>
        <w:t xml:space="preserve">Deployment — Recommended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Sovereignty</w:t>
            </w:r>
          </w:p>
        </w:tc>
        <w:tc>
          <w:tcPr/>
          <w:p>
            <w:pPr>
              <w:pStyle w:val="Compact"/>
            </w:pPr>
            <w:r>
              <w:t xml:space="preserve">In‑office speed</w:t>
            </w:r>
          </w:p>
        </w:tc>
        <w:tc>
          <w:tcPr/>
          <w:p>
            <w:pPr>
              <w:pStyle w:val="Compact"/>
            </w:pPr>
            <w:r>
              <w:t xml:space="preserve">Outage resilience</w:t>
            </w:r>
          </w:p>
        </w:tc>
        <w:tc>
          <w:tcPr/>
          <w:p>
            <w:pPr>
              <w:pStyle w:val="Compact"/>
            </w:pPr>
            <w:r>
              <w:t xml:space="preserve">Cost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(VPS/cloud)</w:t>
            </w:r>
          </w:p>
        </w:tc>
        <w:tc>
          <w:tcPr/>
          <w:p>
            <w:pPr>
              <w:pStyle w:val="Compact"/>
            </w:pPr>
            <w:r>
              <w:t xml:space="preserve">In‑country if Nigerian DC</w:t>
            </w:r>
          </w:p>
        </w:tc>
        <w:tc>
          <w:tcPr/>
          <w:p>
            <w:pPr>
              <w:pStyle w:val="Compact"/>
            </w:pPr>
            <w:r>
              <w:t xml:space="preserve">Depends on link</w:t>
            </w:r>
          </w:p>
        </w:tc>
        <w:tc>
          <w:tcPr/>
          <w:p>
            <w:pPr>
              <w:pStyle w:val="Compact"/>
            </w:pPr>
            <w:r>
              <w:t xml:space="preserve">Needs dual ISP</w:t>
            </w:r>
          </w:p>
        </w:tc>
        <w:tc>
          <w:tcPr/>
          <w:p>
            <w:pPr>
              <w:pStyle w:val="Compact"/>
            </w:pPr>
            <w:r>
              <w:t xml:space="preserve">Recurring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On‑premise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LAN‑fast</w:t>
            </w:r>
          </w:p>
        </w:tc>
        <w:tc>
          <w:tcPr/>
          <w:p>
            <w:pPr>
              <w:pStyle w:val="Compact"/>
            </w:pPr>
            <w:r>
              <w:t xml:space="preserve">Works offline</w:t>
            </w:r>
          </w:p>
        </w:tc>
        <w:tc>
          <w:tcPr/>
          <w:p>
            <w:pPr>
              <w:pStyle w:val="Compact"/>
            </w:pPr>
            <w:r>
              <w:t xml:space="preserve">Upfront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On‑prem + online DR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LAN‑fast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(offsite DR)</w:t>
            </w:r>
          </w:p>
        </w:tc>
        <w:tc>
          <w:tcPr/>
          <w:p>
            <w:pPr>
              <w:pStyle w:val="Compact"/>
            </w:pPr>
            <w:r>
              <w:t xml:space="preserve">Upfront + small recurring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Cloud‑primary + local backup (fallback)</w:t>
            </w:r>
          </w:p>
        </w:tc>
        <w:tc>
          <w:tcPr/>
          <w:p>
            <w:pPr>
              <w:pStyle w:val="Compact"/>
            </w:pPr>
            <w:r>
              <w:t xml:space="preserve">In‑country</w:t>
            </w:r>
          </w:p>
        </w:tc>
        <w:tc>
          <w:tcPr/>
          <w:p>
            <w:pPr>
              <w:pStyle w:val="Compact"/>
            </w:pPr>
            <w:r>
              <w:t xml:space="preserve">Good (dual ISP)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Recurring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🥇 Recommended:</w:t>
      </w:r>
      <w:r>
        <w:t xml:space="preserve"> </w:t>
      </w:r>
      <w:r>
        <w:rPr>
          <w:b/>
          <w:bCs/>
        </w:rPr>
        <w:t xml:space="preserve">On‑premise primary at OAG + automated encrypted Disaster‑Recovery backup to a Nigerian Tier‑III cloud</w:t>
      </w:r>
      <w:r>
        <w:t xml:space="preserve"> </w:t>
      </w:r>
      <w:r>
        <w:t xml:space="preserve">— maximises</w:t>
      </w:r>
      <w:r>
        <w:t xml:space="preserve"> </w:t>
      </w:r>
      <w:r>
        <w:rPr>
          <w:b/>
          <w:bCs/>
        </w:rPr>
        <w:t xml:space="preserve">data sovereignty + LAN speed</w:t>
      </w:r>
      <w:r>
        <w:t xml:space="preserve"> </w:t>
      </w:r>
      <w:r>
        <w:t xml:space="preserve">while removing single‑site disaster risk.</w:t>
      </w:r>
      <w:r>
        <w:t xml:space="preserve"> </w:t>
      </w:r>
      <w:r>
        <w:rPr>
          <w:i/>
          <w:iCs/>
        </w:rPr>
        <w:t xml:space="preserve">Requires a server room with redundant power (UPS + generator).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🥈 Fallback (if the server room/power isn’t ready):</w:t>
      </w:r>
      <w:r>
        <w:t xml:space="preserve"> </w:t>
      </w:r>
      <w:r>
        <w:rPr>
          <w:b/>
          <w:bCs/>
        </w:rPr>
        <w:t xml:space="preserve">Nigerian sovereign‑cloud primary + on‑prem local backup</w:t>
      </w:r>
      <w:r>
        <w:t xml:space="preserve">, with</w:t>
      </w:r>
      <w:r>
        <w:t xml:space="preserve"> </w:t>
      </w:r>
      <w:r>
        <w:rPr>
          <w:b/>
          <w:bCs/>
        </w:rPr>
        <w:t xml:space="preserve">dual ISP</w:t>
      </w:r>
      <w:r>
        <w:t xml:space="preserve"> </w:t>
      </w:r>
      <w:r>
        <w:t xml:space="preserve">at OAG.</w:t>
      </w:r>
    </w:p>
    <w:bookmarkEnd w:id="12"/>
    <w:bookmarkStart w:id="13" w:name="infrastructure-at-a-glance"/>
    <w:p>
      <w:pPr>
        <w:pStyle w:val="Heading2"/>
      </w:pPr>
      <w:r>
        <w:t xml:space="preserve">Infrastructure at a Glance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On‑prem server (for speed):</w:t>
      </w:r>
      <w:r>
        <w:t xml:space="preserve"> </w:t>
      </w:r>
      <w:r>
        <w:t xml:space="preserve">enterprise rack server (Dell R760 / HPE DL380 Gen11),</w:t>
      </w:r>
      <w:r>
        <w:t xml:space="preserve"> </w:t>
      </w:r>
      <w:r>
        <w:rPr>
          <w:b/>
          <w:bCs/>
        </w:rPr>
        <w:t xml:space="preserve">high‑clock Xeon Gold, 128 GB ECC RAM, enterprise NVMe SSD in RAID 10</w:t>
      </w:r>
      <w:r>
        <w:t xml:space="preserve">, redundant power, dual 10 GbE — plus</w:t>
      </w:r>
      <w:r>
        <w:t xml:space="preserve"> </w:t>
      </w:r>
      <w:r>
        <w:rPr>
          <w:b/>
          <w:bCs/>
        </w:rPr>
        <w:t xml:space="preserve">UPS + generator + ATS</w:t>
      </w:r>
      <w:r>
        <w:t xml:space="preserve"> </w:t>
      </w:r>
      <w:r>
        <w:t xml:space="preserve">and a local backup 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Cloud:</w:t>
      </w:r>
      <w:r>
        <w:t xml:space="preserve"> </w:t>
      </w:r>
      <w:r>
        <w:rPr>
          <w:b/>
          <w:bCs/>
        </w:rPr>
        <w:t xml:space="preserve">Nigerian Tier‑III / sovereign cloud</w:t>
      </w:r>
      <w:r>
        <w:t xml:space="preserve"> </w:t>
      </w:r>
      <w:r>
        <w:t xml:space="preserve">(e.g. </w:t>
      </w:r>
      <w:r>
        <w:rPr>
          <w:b/>
          <w:bCs/>
        </w:rPr>
        <w:t xml:space="preserve">Galaxy Backbone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Rack Centre</w:t>
      </w:r>
      <w:r>
        <w:t xml:space="preserve">), reserved NVMe vCPU,</w:t>
      </w:r>
      <w:r>
        <w:t xml:space="preserve"> </w:t>
      </w:r>
      <w:r>
        <w:rPr>
          <w:b/>
          <w:bCs/>
        </w:rPr>
        <w:t xml:space="preserve">≥99.9 % SLA</w:t>
      </w:r>
      <w:r>
        <w:t xml:space="preserve">, NDPA‑2023‑compliant in‑country hosting.</w:t>
      </w:r>
    </w:p>
    <w:bookmarkEnd w:id="13"/>
    <w:bookmarkStart w:id="14" w:name="compliance-controls"/>
    <w:p>
      <w:pPr>
        <w:pStyle w:val="Heading2"/>
      </w:pPr>
      <w:r>
        <w:t xml:space="preserve">Compliance &amp; Controls</w:t>
      </w:r>
    </w:p>
    <w:p>
      <w:pPr>
        <w:pStyle w:val="FirstParagraph"/>
      </w:pPr>
      <w:r>
        <w:rPr>
          <w:b/>
          <w:bCs/>
        </w:rPr>
        <w:t xml:space="preserve">IPSAS</w:t>
      </w:r>
      <w:r>
        <w:t xml:space="preserve"> </w:t>
      </w:r>
      <w:r>
        <w:t xml:space="preserve">accrual reporting ·</w:t>
      </w:r>
      <w:r>
        <w:t xml:space="preserve"> </w:t>
      </w:r>
      <w:r>
        <w:rPr>
          <w:b/>
          <w:bCs/>
        </w:rPr>
        <w:t xml:space="preserve">GIFMIS‑aligned</w:t>
      </w:r>
      <w:r>
        <w:t xml:space="preserve"> </w:t>
      </w:r>
      <w:r>
        <w:t xml:space="preserve">budget/warrant control ·</w:t>
      </w:r>
      <w:r>
        <w:t xml:space="preserve"> </w:t>
      </w:r>
      <w:r>
        <w:rPr>
          <w:b/>
          <w:bCs/>
        </w:rPr>
        <w:t xml:space="preserve">RBAC + Segregation of Duties</w:t>
      </w:r>
      <w:r>
        <w:t xml:space="preserve"> </w:t>
      </w:r>
      <w:r>
        <w:t xml:space="preserve">· full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NDPA 2023</w:t>
      </w:r>
      <w:r>
        <w:t xml:space="preserve"> </w:t>
      </w:r>
      <w:r>
        <w:t xml:space="preserve">alignment via in‑country hosting and encryption in transit and at rest.</w:t>
      </w:r>
    </w:p>
    <w:bookmarkEnd w:id="14"/>
    <w:bookmarkStart w:id="15" w:name="indicative-timeline"/>
    <w:p>
      <w:pPr>
        <w:pStyle w:val="Heading2"/>
      </w:pPr>
      <w:r>
        <w:t xml:space="preserve">Indicative Timeline</w:t>
      </w:r>
    </w:p>
    <w:p>
      <w:pPr>
        <w:pStyle w:val="FirstParagraph"/>
      </w:pPr>
      <w:r>
        <w:rPr>
          <w:b/>
          <w:bCs/>
        </w:rPr>
        <w:t xml:space="preserve">4–6 months</w:t>
      </w:r>
      <w:r>
        <w:t xml:space="preserve"> </w:t>
      </w:r>
      <w:r>
        <w:t xml:space="preserve">across six overlapping phases: mobilisation → core GL/Budget/Warrant → Treasury/AP‑AR → Contracts/Assets/Documents → IPSAS reporting + data migration + parallel run → training, UAT, go‑live, hypercare.</w:t>
      </w:r>
    </w:p>
    <w:bookmarkEnd w:id="15"/>
    <w:bookmarkStart w:id="16" w:name="decisions-needed-to-finalise"/>
    <w:p>
      <w:pPr>
        <w:pStyle w:val="Heading2"/>
      </w:pPr>
      <w:r>
        <w:t xml:space="preserve">Decisions Needed to Finalise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counts</w:t>
      </w:r>
      <w:r>
        <w:t xml:space="preserve"> </w:t>
      </w:r>
      <w:r>
        <w:t xml:space="preserve">per function + peak concurrency (final sizing).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OAG server‑room &amp; power readiness</w:t>
      </w:r>
      <w:r>
        <w:t xml:space="preserve"> </w:t>
      </w:r>
      <w:r>
        <w:t xml:space="preserve">→ selects Scenario ① vs ②.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Hosting choice</w:t>
      </w:r>
      <w:r>
        <w:t xml:space="preserve"> </w:t>
      </w:r>
      <w:r>
        <w:t xml:space="preserve">(Galaxy Backbone / Rack Centre / other) and data‑residency policy.</w:t>
      </w:r>
    </w:p>
    <w:p>
      <w:pPr>
        <w:pStyle w:val="FirstParagraph"/>
      </w:pPr>
      <w:r>
        <w:rPr>
          <w:i/>
          <w:iCs/>
        </w:rPr>
        <w:t xml:space="preserve">Indicative figures will be confirmed at discovery against actual user counts, data volumes, and facility readiness. See the full proposal and the indicative cost/BOM for detail.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2026-06-07T21:53:51Z</dcterms:created>
  <dcterms:modified xsi:type="dcterms:W3CDTF">2026-06-07T21:53:51Z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