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X691ab45abd3e4fedc0188f045137fe778971455"/>
    <w:p>
      <w:pPr>
        <w:pStyle w:val="Heading1"/>
      </w:pPr>
      <w:r>
        <w:t xml:space="preserve">Proposal — Upgrade of the OAG Accounting Solution from Odoo to QUOT PSA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Office of the Accountant‑General (OAG), Delta State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Replacement/upgrade of the existing Odoo accounting deployment with</w:t>
      </w:r>
      <w:r>
        <w:t xml:space="preserve"> </w:t>
      </w:r>
      <w:r>
        <w:rPr>
          <w:b/>
          <w:bCs/>
        </w:rPr>
        <w:t xml:space="preserve">QUOT PSA</w:t>
      </w:r>
      <w:r>
        <w:t xml:space="preserve"> </w:t>
      </w:r>
      <w:r>
        <w:t xml:space="preserve">(Public‑Sector Accounting platform)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07/06/2026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review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OAG currently runs</w:t>
      </w:r>
      <w:r>
        <w:t xml:space="preserve"> </w:t>
      </w:r>
      <w:r>
        <w:rPr>
          <w:b/>
          <w:bCs/>
        </w:rPr>
        <w:t xml:space="preserve">Odoo</w:t>
      </w:r>
      <w:r>
        <w:t xml:space="preserve"> </w:t>
      </w:r>
      <w:r>
        <w:t xml:space="preserve">for accounting in a</w:t>
      </w:r>
      <w:r>
        <w:t xml:space="preserve"> </w:t>
      </w:r>
      <w:r>
        <w:rPr>
          <w:b/>
          <w:bCs/>
        </w:rPr>
        <w:t xml:space="preserve">single office (final reporting only)</w:t>
      </w:r>
      <w:r>
        <w:t xml:space="preserve">. This proposal covers upgrading to</w:t>
      </w:r>
      <w:r>
        <w:t xml:space="preserve"> </w:t>
      </w:r>
      <w:r>
        <w:rPr>
          <w:b/>
          <w:bCs/>
        </w:rPr>
        <w:t xml:space="preserve">QUOT PSA</w:t>
      </w:r>
      <w:r>
        <w:t xml:space="preserve">, a purpose‑built, IPSAS‑compliant, GIFMIS‑aligned public‑sector accounting platform, and extending it across the OAG to cover</w:t>
      </w:r>
      <w:r>
        <w:t xml:space="preserve"> </w:t>
      </w:r>
      <w:r>
        <w:rPr>
          <w:b/>
          <w:bCs/>
        </w:rPr>
        <w:t xml:space="preserve">four operating functions in one integrated system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Accounting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Treasury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 Reporting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Control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General Ledger &amp; Chart of Accounts (NCoA), Budget &amp; Appropriation,</w:t>
      </w:r>
      <w:r>
        <w:t xml:space="preserve"> </w:t>
      </w:r>
      <w:r>
        <w:rPr>
          <w:b/>
          <w:bCs/>
        </w:rPr>
        <w:t xml:space="preserve">Warrant (AIE)</w:t>
      </w:r>
      <w:r>
        <w:t xml:space="preserve"> </w:t>
      </w:r>
      <w:r>
        <w:t xml:space="preserve">controls, Treasury &amp; Banking, Accounts Payable/Receivable and</w:t>
      </w:r>
      <w:r>
        <w:t xml:space="preserve"> </w:t>
      </w:r>
      <w:r>
        <w:rPr>
          <w:b/>
          <w:bCs/>
        </w:rPr>
        <w:t xml:space="preserve">all payment processing</w:t>
      </w:r>
      <w:r>
        <w:t xml:space="preserve">,</w:t>
      </w:r>
      <w:r>
        <w:t xml:space="preserve"> </w:t>
      </w:r>
      <w:r>
        <w:rPr>
          <w:b/>
          <w:bCs/>
        </w:rPr>
        <w:t xml:space="preserve">Contract Management (with all features — mobilization, retention, IPC/valuations, variations)</w:t>
      </w:r>
      <w:r>
        <w:t xml:space="preserve">,</w:t>
      </w:r>
      <w:r>
        <w:t xml:space="preserve"> </w:t>
      </w:r>
      <w:r>
        <w:rPr>
          <w:b/>
          <w:bCs/>
        </w:rPr>
        <w:t xml:space="preserve">Fixed Assets</w:t>
      </w:r>
      <w:r>
        <w:t xml:space="preserve">, and</w:t>
      </w:r>
      <w:r>
        <w:t xml:space="preserve"> </w:t>
      </w:r>
      <w:r>
        <w:rPr>
          <w:b/>
          <w:bCs/>
        </w:rPr>
        <w:t xml:space="preserve">all IPSAS compliance reports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Explicitly out of scope (this phase):</w:t>
      </w:r>
      <w:r>
        <w:t xml:space="preserve"> </w:t>
      </w:r>
      <w:r>
        <w:rPr>
          <w:b/>
          <w:bCs/>
        </w:rPr>
        <w:t xml:space="preserve">Procurement / Purchase Orders (PO)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Human Resources / Payroll (HR)</w:t>
      </w:r>
      <w:r>
        <w:t xml:space="preserve">.</w:t>
      </w:r>
    </w:p>
    <w:p>
      <w:pPr>
        <w:pStyle w:val="BodyText"/>
      </w:pPr>
      <w:r>
        <w:t xml:space="preserve">This document also analyses three deployment models —</w:t>
      </w:r>
      <w:r>
        <w:t xml:space="preserve"> </w:t>
      </w:r>
      <w:r>
        <w:rPr>
          <w:b/>
          <w:bCs/>
        </w:rPr>
        <w:t xml:space="preserve">online (VPS/cloud)</w:t>
      </w:r>
      <w:r>
        <w:t xml:space="preserve">,</w:t>
      </w:r>
      <w:r>
        <w:t xml:space="preserve"> </w:t>
      </w:r>
      <w:r>
        <w:rPr>
          <w:b/>
          <w:bCs/>
        </w:rPr>
        <w:t xml:space="preserve">on‑premise (local server)</w:t>
      </w:r>
      <w:r>
        <w:t xml:space="preserve">, and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(deploy online + run on‑premise, or deploy on‑premise + back up online) — with pros/cons, recommended server and cloud specifications, and a</w:t>
      </w:r>
      <w:r>
        <w:t xml:space="preserve"> </w:t>
      </w:r>
      <w:r>
        <w:rPr>
          <w:b/>
          <w:bCs/>
        </w:rPr>
        <w:t xml:space="preserve">recommended best‑fit scenario</w:t>
      </w:r>
      <w:r>
        <w:t xml:space="preserve"> </w:t>
      </w:r>
      <w:r>
        <w:t xml:space="preserve">tuned to Nigerian public‑sector realities (data sovereignty, power, and connectivity).</w:t>
      </w:r>
    </w:p>
    <w:p>
      <w:pPr>
        <w:pStyle w:val="BlockText"/>
      </w:pPr>
      <w:r>
        <w:rPr>
          <w:b/>
          <w:bCs/>
        </w:rPr>
        <w:t xml:space="preserve">Bottom line recommendation:</w:t>
      </w:r>
      <w:r>
        <w:t xml:space="preserve"> </w:t>
      </w:r>
      <w:r>
        <w:rPr>
          <w:b/>
          <w:bCs/>
        </w:rPr>
        <w:t xml:space="preserve">On‑premise primary at OAG + automated encrypted online (Nigerian Tier‑III) Disaster‑Recovery backup</w:t>
      </w:r>
      <w:r>
        <w:t xml:space="preserve"> </w:t>
      </w:r>
      <w:r>
        <w:t xml:space="preserve">— the hybrid model that maximises data sovereignty and LAN speed while eliminating the single‑site disaster risk of a pure on‑premise deployment. A fully</w:t>
      </w:r>
      <w:r>
        <w:t xml:space="preserve"> </w:t>
      </w:r>
      <w:r>
        <w:rPr>
          <w:b/>
          <w:bCs/>
        </w:rPr>
        <w:t xml:space="preserve">Nigerian sovereign‑cloud‑primary</w:t>
      </w:r>
      <w:r>
        <w:t xml:space="preserve"> </w:t>
      </w:r>
      <w:r>
        <w:t xml:space="preserve">model is the recommended fallback if OAG’s server‑room/power readiness is not yet in place.</w:t>
      </w:r>
    </w:p>
    <w:p>
      <w:r>
        <w:pict>
          <v:rect style="width:0;height:1.5pt" o:hralign="center" o:hrstd="t" o:hr="t"/>
        </w:pict>
      </w:r>
    </w:p>
    <w:bookmarkEnd w:id="9"/>
    <w:bookmarkStart w:id="10" w:name="background-current-state"/>
    <w:p>
      <w:pPr>
        <w:pStyle w:val="Heading2"/>
      </w:pPr>
      <w:r>
        <w:t xml:space="preserve">2. Background &amp; Current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Current (Odoo)</w:t>
            </w:r>
          </w:p>
        </w:tc>
        <w:tc>
          <w:tcPr/>
          <w:p>
            <w:pPr>
              <w:pStyle w:val="Compact"/>
            </w:pPr>
            <w:r>
              <w:t xml:space="preserve">Target (QUOT PSA)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Footprint</w:t>
            </w:r>
          </w:p>
        </w:tc>
        <w:tc>
          <w:tcPr/>
          <w:p>
            <w:pPr>
              <w:pStyle w:val="Compact"/>
            </w:pPr>
            <w:r>
              <w:t xml:space="preserve">One office —</w:t>
            </w:r>
            <w:r>
              <w:t xml:space="preserve"> </w:t>
            </w:r>
            <w:r>
              <w:rPr>
                <w:b/>
                <w:bCs/>
              </w:rPr>
              <w:t xml:space="preserve">final reporting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OAG‑wide:</w:t>
            </w:r>
            <w:r>
              <w:t xml:space="preserve"> </w:t>
            </w:r>
            <w:r>
              <w:rPr>
                <w:b/>
                <w:bCs/>
              </w:rPr>
              <w:t xml:space="preserve">Management Accounting, Treasury, Final Reporting, Document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fit</w:t>
            </w:r>
          </w:p>
        </w:tc>
        <w:tc>
          <w:tcPr/>
          <w:p>
            <w:pPr>
              <w:pStyle w:val="Compact"/>
            </w:pPr>
            <w:r>
              <w:t xml:space="preserve">General‑purpose commercial ERP, localised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Public‑sector‑native</w:t>
            </w:r>
            <w:r>
              <w:t xml:space="preserve"> </w:t>
            </w:r>
            <w:r>
              <w:t xml:space="preserve">(NCoA, MDA structure, Appropriation, Warrant/AIE, TSA, IPSAS)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control</w:t>
            </w:r>
          </w:p>
        </w:tc>
        <w:tc>
          <w:tcPr/>
          <w:p>
            <w:pPr>
              <w:pStyle w:val="Compact"/>
            </w:pPr>
            <w:r>
              <w:t xml:space="preserve">Limited / add‑on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appropriation + warrant ceiling enforcement</w:t>
            </w:r>
            <w:r>
              <w:t xml:space="preserve"> </w:t>
            </w:r>
            <w:r>
              <w:t xml:space="preserve">at commitment and payment 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Generic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FIDIC/Delta‑WORKS contract lifecycle</w:t>
            </w:r>
            <w:r>
              <w:t xml:space="preserve"> </w:t>
            </w:r>
            <w:r>
              <w:t xml:space="preserve">(mobilization, retention, IPC)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Commercial financials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IPSAS suite + budget‑performance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Multi‑office</w:t>
            </w:r>
          </w:p>
        </w:tc>
        <w:tc>
          <w:tcPr/>
          <w:p>
            <w:pPr>
              <w:pStyle w:val="Compact"/>
            </w:pPr>
            <w:r>
              <w:t xml:space="preserve">Single instance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Multi‑department, role‑segregated, audit‑trailed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upgrade:</w:t>
      </w:r>
      <w:r>
        <w:t xml:space="preserve"> </w:t>
      </w:r>
      <w:r>
        <w:t xml:space="preserve">Odoo was adequate for a single final‑reporting office but does not natively model the</w:t>
      </w:r>
      <w:r>
        <w:t xml:space="preserve"> </w:t>
      </w:r>
      <w:r>
        <w:rPr>
          <w:b/>
          <w:bCs/>
        </w:rPr>
        <w:t xml:space="preserve">Nigerian public‑finance control chain</w:t>
      </w:r>
      <w:r>
        <w:t xml:space="preserve"> </w:t>
      </w:r>
      <w:r>
        <w:t xml:space="preserve">(Appropriation → Warrant/AIE → Commitment → Payment → IPSAS reporting), nor the</w:t>
      </w:r>
      <w:r>
        <w:t xml:space="preserve"> </w:t>
      </w:r>
      <w:r>
        <w:rPr>
          <w:b/>
          <w:bCs/>
        </w:rPr>
        <w:t xml:space="preserve">contract certification/mobilization/retention</w:t>
      </w:r>
      <w:r>
        <w:t xml:space="preserve"> </w:t>
      </w:r>
      <w:r>
        <w:t xml:space="preserve">workflow, nor segregation of duties across treasury vs. reporting vs. management accounting. QUOT PSA is built specifically for these.</w:t>
      </w:r>
    </w:p>
    <w:p>
      <w:r>
        <w:pict>
          <v:rect style="width:0;height:1.5pt" o:hralign="center" o:hrstd="t" o:hr="t"/>
        </w:pict>
      </w:r>
    </w:p>
    <w:bookmarkEnd w:id="10"/>
    <w:bookmarkStart w:id="13" w:name="Xc4fa940fe1c5326b5557806760995f211b6122f"/>
    <w:p>
      <w:pPr>
        <w:pStyle w:val="Heading2"/>
      </w:pPr>
      <w:r>
        <w:t xml:space="preserve">3. Functional Scope (What QUOT PSA Delivers to OAG)</w:t>
      </w:r>
    </w:p>
    <w:bookmarkStart w:id="11" w:name="in-scope"/>
    <w:p>
      <w:pPr>
        <w:pStyle w:val="Heading3"/>
      </w:pPr>
      <w:r>
        <w:t xml:space="preserve">3.1 In Scope</w:t>
      </w:r>
    </w:p>
    <w:p>
      <w:pPr>
        <w:pStyle w:val="FirstParagraph"/>
      </w:pPr>
      <w:r>
        <w:rPr>
          <w:b/>
          <w:bCs/>
        </w:rPr>
        <w:t xml:space="preserve">A. General Ledger &amp; Chart of Accounts</w:t>
      </w:r>
      <w:r>
        <w:t xml:space="preserve"> </w:t>
      </w:r>
      <w:r>
        <w:t xml:space="preserve">- Multi‑dimensional</w:t>
      </w:r>
      <w:r>
        <w:t xml:space="preserve"> </w:t>
      </w:r>
      <w:r>
        <w:rPr>
          <w:b/>
          <w:bCs/>
        </w:rPr>
        <w:t xml:space="preserve">National Chart of Accounts (NCoA)</w:t>
      </w:r>
      <w:r>
        <w:t xml:space="preserve">: Administrative (MDA), Economic, Fund, Functional, Programme, and Geographic segments.</w:t>
      </w:r>
      <w:r>
        <w:t xml:space="preserve"> </w:t>
      </w:r>
      <w:r>
        <w:t xml:space="preserve">- Journal entries with auto‑numbered vouchers (JV‑####), multi‑dimensional posting, draft → posted controls, reversals, and</w:t>
      </w:r>
      <w:r>
        <w:t xml:space="preserve"> </w:t>
      </w:r>
      <w:r>
        <w:rPr>
          <w:b/>
          <w:bCs/>
        </w:rPr>
        <w:t xml:space="preserve">drill‑down from any GL balance to the originating document and its double‑entry</w:t>
      </w:r>
      <w:r>
        <w:t xml:space="preserve">.</w:t>
      </w:r>
      <w:r>
        <w:t xml:space="preserve"> </w:t>
      </w:r>
      <w:r>
        <w:t xml:space="preserve">- Period control and</w:t>
      </w:r>
      <w:r>
        <w:t xml:space="preserve"> </w:t>
      </w:r>
      <w:r>
        <w:rPr>
          <w:b/>
          <w:bCs/>
        </w:rPr>
        <w:t xml:space="preserve">year‑end close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B. Budget &amp; Appropriation</w:t>
      </w:r>
      <w:r>
        <w:t xml:space="preserve"> </w:t>
      </w:r>
      <w:r>
        <w:t xml:space="preserve">- Appropriation capture (original + supplementary),</w:t>
      </w:r>
      <w:r>
        <w:t xml:space="preserve"> </w:t>
      </w:r>
      <w:r>
        <w:rPr>
          <w:b/>
          <w:bCs/>
        </w:rPr>
        <w:t xml:space="preserve">virement/transfer</w:t>
      </w:r>
      <w:r>
        <w:t xml:space="preserve"> </w:t>
      </w:r>
      <w:r>
        <w:t xml:space="preserve">between lines.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Budget‑check rules</w:t>
      </w:r>
      <w:r>
        <w:t xml:space="preserve"> </w:t>
      </w:r>
      <w:r>
        <w:t xml:space="preserve">(NONE / WARNING / HARD‑STOP) per GL series.</w:t>
      </w:r>
      <w:r>
        <w:t xml:space="preserve"> </w:t>
      </w:r>
      <w:r>
        <w:t xml:space="preserve">- Budget vs. Actual, commitment, and execution tracking.</w:t>
      </w:r>
    </w:p>
    <w:p>
      <w:pPr>
        <w:pStyle w:val="BodyText"/>
      </w:pPr>
      <w:r>
        <w:rPr>
          <w:b/>
          <w:bCs/>
        </w:rPr>
        <w:t xml:space="preserve">C. Warrant (AIE) Controls</w:t>
      </w:r>
      <w:r>
        <w:t xml:space="preserve"> </w:t>
      </w:r>
      <w:r>
        <w:rPr>
          <w:i/>
          <w:iCs/>
        </w:rPr>
        <w:t xml:space="preserve">(a core differentiator)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Authority to Incur Expenditure (AIE)/Warrant</w:t>
      </w:r>
      <w:r>
        <w:t xml:space="preserve"> </w:t>
      </w:r>
      <w:r>
        <w:t xml:space="preserve">release against appropriations (quarterly/periodic cash release).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Warrant‑ceiling enforcement</w:t>
      </w:r>
      <w:r>
        <w:t xml:space="preserve"> </w:t>
      </w:r>
      <w:r>
        <w:t xml:space="preserve">so cash cannot leave the Treasury Single Account beyond released warrants — enforced at</w:t>
      </w:r>
      <w:r>
        <w:t xml:space="preserve"> </w:t>
      </w:r>
      <w:r>
        <w:rPr>
          <w:b/>
          <w:bCs/>
        </w:rPr>
        <w:t xml:space="preserve">AP‑invoice posting, outgoing payment, vendor down‑payment, and contract mobilization</w:t>
      </w:r>
      <w:r>
        <w:t xml:space="preserve"> </w:t>
      </w:r>
      <w:r>
        <w:t xml:space="preserve">stages, with a single tenant‑level master switch (GIFMIS‑compliant by default).</w:t>
      </w:r>
      <w:r>
        <w:t xml:space="preserve"> </w:t>
      </w:r>
      <w:r>
        <w:t xml:space="preserve">- Warrant expiry/lifecycle management.</w:t>
      </w:r>
    </w:p>
    <w:p>
      <w:pPr>
        <w:pStyle w:val="BodyText"/>
      </w:pPr>
      <w:r>
        <w:rPr>
          <w:b/>
          <w:bCs/>
        </w:rPr>
        <w:t xml:space="preserve">D. Treasury &amp; Banking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Treasury Single Account (TSA)</w:t>
      </w:r>
      <w:r>
        <w:t xml:space="preserve"> </w:t>
      </w:r>
      <w:r>
        <w:t xml:space="preserve">management, TSA transfers, cash position.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 Vouchers (PV)</w:t>
      </w:r>
      <w:r>
        <w:t xml:space="preserve"> </w:t>
      </w:r>
      <w:r>
        <w:t xml:space="preserve">with the full authority‑to‑pay workflow.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outgoing payments</w:t>
      </w:r>
      <w:r>
        <w:t xml:space="preserve"> </w:t>
      </w:r>
      <w:r>
        <w:t xml:space="preserve">(vendor payments, advances/down‑payments, mobilization disbursements), payment allocation/matching, and</w:t>
      </w:r>
      <w:r>
        <w:t xml:space="preserve"> </w:t>
      </w:r>
      <w:r>
        <w:rPr>
          <w:b/>
          <w:bCs/>
        </w:rPr>
        <w:t xml:space="preserve">bank reconciliation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E. Accounts Payable / Receivable &amp; All Payments</w:t>
      </w:r>
      <w:r>
        <w:t xml:space="preserve"> </w:t>
      </w:r>
      <w:r>
        <w:t xml:space="preserve">- Vendor invoices, customer invoices, payments,</w:t>
      </w:r>
      <w:r>
        <w:t xml:space="preserve"> </w:t>
      </w:r>
      <w:r>
        <w:rPr>
          <w:b/>
          <w:bCs/>
        </w:rPr>
        <w:t xml:space="preserve">allocation to outstanding invoices</w:t>
      </w:r>
      <w:r>
        <w:t xml:space="preserve">, vendor advances (F‑48) and clearing (F‑54).</w:t>
      </w:r>
      <w:r>
        <w:t xml:space="preserve"> </w:t>
      </w:r>
      <w:r>
        <w:t xml:space="preserve">- Supplier account/transaction history with cleared/outstanding visibility and Excel export.</w:t>
      </w:r>
    </w:p>
    <w:p>
      <w:pPr>
        <w:pStyle w:val="BodyText"/>
      </w:pPr>
      <w:r>
        <w:rPr>
          <w:b/>
          <w:bCs/>
        </w:rPr>
        <w:t xml:space="preserve">F. Contract Management (all features)</w:t>
      </w:r>
      <w:r>
        <w:t xml:space="preserve"> </w:t>
      </w:r>
      <w:r>
        <w:t xml:space="preserve">- Contract register and activation;</w:t>
      </w:r>
      <w:r>
        <w:t xml:space="preserve"> </w:t>
      </w:r>
      <w:r>
        <w:rPr>
          <w:b/>
          <w:bCs/>
        </w:rPr>
        <w:t xml:space="preserve">mobilization advances with FIDIC pro‑rata recovery</w:t>
      </w:r>
      <w:r>
        <w:t xml:space="preserve">;</w:t>
      </w:r>
      <w:r>
        <w:t xml:space="preserve"> </w:t>
      </w:r>
      <w:r>
        <w:rPr>
          <w:b/>
          <w:bCs/>
        </w:rPr>
        <w:t xml:space="preserve">retention (lump‑sum reserve model)</w:t>
      </w:r>
      <w:r>
        <w:t xml:space="preserve">;</w:t>
      </w:r>
      <w:r>
        <w:t xml:space="preserve"> </w:t>
      </w:r>
      <w:r>
        <w:rPr>
          <w:b/>
          <w:bCs/>
        </w:rPr>
        <w:t xml:space="preserve">Interim Payment Certificates (IPC)/valuations</w:t>
      </w:r>
      <w:r>
        <w:t xml:space="preserve">; variations; segregation‑of‑duties on certify/approve/pay.</w:t>
      </w:r>
      <w:r>
        <w:t xml:space="preserve"> </w:t>
      </w:r>
      <w:r>
        <w:t xml:space="preserve">- Appropriation + warrant validation on mobilization and certified payments.</w:t>
      </w:r>
    </w:p>
    <w:p>
      <w:pPr>
        <w:pStyle w:val="BodyText"/>
      </w:pPr>
      <w:r>
        <w:rPr>
          <w:b/>
          <w:bCs/>
        </w:rPr>
        <w:t xml:space="preserve">G. Fixed Assets</w:t>
      </w:r>
      <w:r>
        <w:t xml:space="preserve"> </w:t>
      </w:r>
      <w:r>
        <w:t xml:space="preserve">- Capitalisation, depreciation runs, disposal, and revaluation with automatic GL posting.</w:t>
      </w:r>
    </w:p>
    <w:p>
      <w:pPr>
        <w:pStyle w:val="BodyText"/>
      </w:pPr>
      <w:r>
        <w:rPr>
          <w:b/>
          <w:bCs/>
        </w:rPr>
        <w:t xml:space="preserve">H. IPSAS Compliance Reporting (full suite)</w:t>
      </w:r>
      <w:r>
        <w:t xml:space="preserve"> </w:t>
      </w:r>
      <w:r>
        <w:t xml:space="preserve">- Statement of Financial Position, Statement of Financial Performance,</w:t>
      </w:r>
      <w:r>
        <w:t xml:space="preserve"> </w:t>
      </w:r>
      <w:r>
        <w:rPr>
          <w:b/>
          <w:bCs/>
        </w:rPr>
        <w:t xml:space="preserve">Cash Flow Statement</w:t>
      </w:r>
      <w:r>
        <w:t xml:space="preserve">, Statement of Changes in Net Assets,</w:t>
      </w:r>
      <w:r>
        <w:t xml:space="preserve"> </w:t>
      </w:r>
      <w:r>
        <w:rPr>
          <w:b/>
          <w:bCs/>
        </w:rPr>
        <w:t xml:space="preserve">Notes to the Financial Statements</w:t>
      </w:r>
      <w:r>
        <w:t xml:space="preserve">.</w:t>
      </w:r>
      <w:r>
        <w:t xml:space="preserve"> </w:t>
      </w:r>
      <w:r>
        <w:t xml:space="preserve">- Budget‑performance suite: Budget vs. Actual, Execution, Variance Analysis, Revenue Performance, and Programme/Functional/Fund/Geographic performance.</w:t>
      </w:r>
      <w:r>
        <w:t xml:space="preserve"> </w:t>
      </w:r>
      <w:r>
        <w:t xml:space="preserve">- One‑click</w:t>
      </w:r>
      <w:r>
        <w:t xml:space="preserve"> </w:t>
      </w:r>
      <w:r>
        <w:rPr>
          <w:b/>
          <w:bCs/>
        </w:rPr>
        <w:t xml:space="preserve">Excel/PDF export</w:t>
      </w:r>
      <w:r>
        <w:t xml:space="preserve"> </w:t>
      </w:r>
      <w:r>
        <w:t xml:space="preserve">on reports and ledgers.</w:t>
      </w:r>
    </w:p>
    <w:p>
      <w:pPr>
        <w:pStyle w:val="BodyText"/>
      </w:pPr>
      <w:r>
        <w:rPr>
          <w:b/>
          <w:bCs/>
        </w:rPr>
        <w:t xml:space="preserve">I. Document Control</w:t>
      </w:r>
      <w:r>
        <w:t xml:space="preserve"> </w:t>
      </w:r>
      <w:r>
        <w:t xml:space="preserve">- Attachment management on source documents (invoices, vouchers, contracts, IPCs), with controlled storage and retrieval — supported by</w:t>
      </w:r>
      <w:r>
        <w:t xml:space="preserve"> </w:t>
      </w:r>
      <w:r>
        <w:rPr>
          <w:b/>
          <w:bCs/>
        </w:rPr>
        <w:t xml:space="preserve">S3‑compatible object storage</w:t>
      </w:r>
      <w:r>
        <w:t xml:space="preserve"> </w:t>
      </w:r>
      <w:r>
        <w:t xml:space="preserve">(on‑prem MinIO or cloud bucket).</w:t>
      </w:r>
    </w:p>
    <w:p>
      <w:pPr>
        <w:pStyle w:val="BodyText"/>
      </w:pPr>
      <w:r>
        <w:rPr>
          <w:b/>
          <w:bCs/>
        </w:rPr>
        <w:t xml:space="preserve">J. Platform Controls (cross‑cutting)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Role‑Based Access Control (RBAC)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Segregation of Duties (SoD)</w:t>
      </w:r>
      <w:r>
        <w:t xml:space="preserve"> </w:t>
      </w:r>
      <w:r>
        <w:t xml:space="preserve">(e.g., the staff who create invoices cannot release funds).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Approval workflows</w:t>
      </w:r>
      <w:r>
        <w:t xml:space="preserve">, full</w:t>
      </w:r>
      <w:r>
        <w:t xml:space="preserve"> </w:t>
      </w:r>
      <w:r>
        <w:rPr>
          <w:b/>
          <w:bCs/>
        </w:rPr>
        <w:t xml:space="preserve">audit trail</w:t>
      </w:r>
      <w:r>
        <w:t xml:space="preserve">, and multi‑department isolation.</w:t>
      </w:r>
    </w:p>
    <w:bookmarkEnd w:id="11"/>
    <w:bookmarkStart w:id="12" w:name="out-of-scope-this-phase"/>
    <w:p>
      <w:pPr>
        <w:pStyle w:val="Heading3"/>
      </w:pPr>
      <w:r>
        <w:t xml:space="preserve">3.2 Out of Scope (this phase)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Procurement / Purchase Orders (PO)</w:t>
      </w:r>
      <w:r>
        <w:t xml:space="preserve"> </w:t>
      </w:r>
      <w:r>
        <w:t xml:space="preserve">— vendors and direct invoices are supported, but the PO/requisition/GRN procurement chain is excluded.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 Resources / Payroll (HR)</w:t>
      </w:r>
      <w:r>
        <w:t xml:space="preserve">.</w:t>
      </w:r>
    </w:p>
    <w:p>
      <w:pPr>
        <w:pStyle w:val="BlockText"/>
      </w:pPr>
      <w:r>
        <w:t xml:space="preserve">These can be activated in a later phase; the platform already contains the modules, so enabling them is a configuration/rollout exercise rather than new development.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architecture-summary"/>
    <w:p>
      <w:pPr>
        <w:pStyle w:val="Heading2"/>
      </w:pPr>
      <w:r>
        <w:t xml:space="preserve">4. Technical Architecture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Vite (TypeScript)</w:t>
            </w:r>
          </w:p>
        </w:tc>
        <w:tc>
          <w:tcPr/>
          <w:p>
            <w:pPr>
              <w:pStyle w:val="Compact"/>
            </w:pPr>
            <w:r>
              <w:t xml:space="preserve">SPA; route‑level code‑splitting for fast page 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Django + Django REST Framework (Python)</w:t>
            </w:r>
          </w:p>
        </w:tc>
        <w:tc>
          <w:tcPr/>
          <w:p>
            <w:pPr>
              <w:pStyle w:val="Compact"/>
            </w:pPr>
            <w:r>
              <w:t xml:space="preserve">Business logic, IPSAS engine, warrant/budget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</w:pPr>
            <w:r>
              <w:t xml:space="preserve">Celery + Redis</w:t>
            </w:r>
          </w:p>
        </w:tc>
        <w:tc>
          <w:tcPr/>
          <w:p>
            <w:pPr>
              <w:pStyle w:val="Compact"/>
            </w:pPr>
            <w:r>
              <w:t xml:space="preserve">Warrant expiry, depreciation runs, scheduled postings,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  <w:r>
              <w:t xml:space="preserve"> </w:t>
            </w:r>
            <w:r>
              <w:t xml:space="preserve">(schema‑per‑tenant / department isolation)</w:t>
            </w:r>
          </w:p>
        </w:tc>
        <w:tc>
          <w:tcPr/>
          <w:p>
            <w:pPr>
              <w:pStyle w:val="Compact"/>
            </w:pPr>
            <w:r>
              <w:t xml:space="preserve">The performance‑critical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Cache/queue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Sessions, caching, task broker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S3‑compatible (MinIO on‑prem / cloud bucket)</w:t>
            </w:r>
          </w:p>
        </w:tc>
        <w:tc>
          <w:tcPr/>
          <w:p>
            <w:pPr>
              <w:pStyle w:val="Compact"/>
            </w:pPr>
            <w:r>
              <w:t xml:space="preserve">Document control 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Web/Proxy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TLS termination, static serving, reverse proxy</w:t>
            </w:r>
          </w:p>
        </w:tc>
      </w:tr>
    </w:tbl>
    <w:p>
      <w:pPr>
        <w:pStyle w:val="BodyText"/>
      </w:pPr>
      <w:r>
        <w:t xml:space="preserve">This is a standard, well‑understood stack that runs equally well</w:t>
      </w:r>
      <w:r>
        <w:t xml:space="preserve"> </w:t>
      </w:r>
      <w:r>
        <w:rPr>
          <w:b/>
          <w:bCs/>
        </w:rPr>
        <w:t xml:space="preserve">on‑premise</w:t>
      </w:r>
      <w:r>
        <w:t xml:space="preserve"> </w:t>
      </w:r>
      <w:r>
        <w:t xml:space="preserve">or in a</w:t>
      </w:r>
      <w:r>
        <w:t xml:space="preserve"> </w:t>
      </w:r>
      <w:r>
        <w:rPr>
          <w:b/>
          <w:bCs/>
        </w:rPr>
        <w:t xml:space="preserve">VPS/cloud</w:t>
      </w:r>
      <w:r>
        <w:t xml:space="preserve">, which is what makes the hybrid options below practical.</w:t>
      </w:r>
    </w:p>
    <w:p>
      <w:r>
        <w:pict>
          <v:rect style="width:0;height:1.5pt" o:hralign="center" o:hrstd="t" o:hr="t"/>
        </w:pict>
      </w:r>
    </w:p>
    <w:bookmarkEnd w:id="14"/>
    <w:bookmarkStart w:id="18" w:name="deployment-options-pros-cons"/>
    <w:p>
      <w:pPr>
        <w:pStyle w:val="Heading2"/>
      </w:pPr>
      <w:r>
        <w:t xml:space="preserve">5. Deployment Options — Pros &amp; Cons</w:t>
      </w:r>
    </w:p>
    <w:bookmarkStart w:id="15" w:name="option-a-online-vps-cloud"/>
    <w:p>
      <w:pPr>
        <w:pStyle w:val="Heading3"/>
      </w:pPr>
      <w:r>
        <w:t xml:space="preserve">5.1 Option A — Online (VPS / Cloud)</w:t>
      </w:r>
    </w:p>
    <w:p>
      <w:pPr>
        <w:pStyle w:val="FirstParagraph"/>
      </w:pPr>
      <w:r>
        <w:rPr>
          <w:b/>
          <w:bCs/>
        </w:rPr>
        <w:t xml:space="preserve">Best when:</w:t>
      </w:r>
      <w:r>
        <w:t xml:space="preserve"> </w:t>
      </w:r>
      <w:r>
        <w:t xml:space="preserve">OAG lacks a data‑center‑grade server room, reliable power, or in‑house infrastructure staff; or wants fastest time‑to‑deploy and built‑in resilience.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large upfront hardware capex (OpEx model)</w:t>
            </w:r>
          </w:p>
        </w:tc>
        <w:tc>
          <w:tcPr/>
          <w:p>
            <w:pPr>
              <w:pStyle w:val="Compact"/>
            </w:pPr>
            <w:r>
              <w:t xml:space="preserve">Recurring monthly/annual cost indefinitely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data‑center power, cooling, network, physical 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Dependent on internet</w:t>
            </w:r>
            <w:r>
              <w:t xml:space="preserve"> </w:t>
            </w:r>
            <w:r>
              <w:t xml:space="preserve">— an OAG link outage blocks all users (mitigate with dual ISP)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Built‑in snapshots, backups, and easy scaling (add vCPU/RAM on demand)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Data‑sovereignty/control</w:t>
            </w:r>
            <w:r>
              <w:t xml:space="preserve"> </w:t>
            </w:r>
            <w:r>
              <w:t xml:space="preserve">concerns if hosted offshore (mitigate by hosting</w:t>
            </w:r>
            <w:r>
              <w:t xml:space="preserve"> </w:t>
            </w:r>
            <w:r>
              <w:rPr>
                <w:b/>
                <w:bCs/>
              </w:rPr>
              <w:t xml:space="preserve">in Nigeria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provisioning; deploy in days, not weeks</w:t>
            </w:r>
          </w:p>
        </w:tc>
        <w:tc>
          <w:tcPr/>
          <w:p>
            <w:pPr>
              <w:pStyle w:val="Compact"/>
            </w:pPr>
            <w:r>
              <w:t xml:space="preserve">Less direct physical control of the 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Easier secure remote access for distributed users</w:t>
            </w:r>
          </w:p>
        </w:tc>
        <w:tc>
          <w:tcPr/>
          <w:p>
            <w:pPr>
              <w:pStyle w:val="Compact"/>
            </w:pPr>
            <w:r>
              <w:t xml:space="preserve">Performance depends on provider not over‑subscribing the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 protection, managed firewalling available</w:t>
            </w:r>
          </w:p>
        </w:tc>
        <w:tc>
          <w:tcPr/>
          <w:p>
            <w:pPr>
              <w:pStyle w:val="Compact"/>
            </w:pPr>
            <w:r>
              <w:t xml:space="preserve">Long‑term TCO can exceed on‑prem over 4–5 years</w:t>
            </w:r>
          </w:p>
        </w:tc>
      </w:tr>
    </w:tbl>
    <w:bookmarkEnd w:id="15"/>
    <w:bookmarkStart w:id="16" w:name="option-b-onpremise-local-server-at-oag"/>
    <w:p>
      <w:pPr>
        <w:pStyle w:val="Heading3"/>
      </w:pPr>
      <w:r>
        <w:t xml:space="preserve">5.2 Option B — On‑Premise (Local Server at OAG)</w:t>
      </w:r>
    </w:p>
    <w:p>
      <w:pPr>
        <w:pStyle w:val="FirstParagraph"/>
      </w:pPr>
      <w:r>
        <w:rPr>
          <w:b/>
          <w:bCs/>
        </w:rPr>
        <w:t xml:space="preserve">Best when:</w:t>
      </w:r>
      <w:r>
        <w:t xml:space="preserve"> </w:t>
      </w:r>
      <w:r>
        <w:t xml:space="preserve">Data sovereignty is paramount (it is, for state finance data), OAG has/will build a secure server room with redundant power, and most users are on the OAG LAN/WAN.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data sovereignty &amp; control</w:t>
            </w:r>
            <w:r>
              <w:t xml:space="preserve"> </w:t>
            </w:r>
            <w:r>
              <w:t xml:space="preserve">— data never leaves OAG (strong NDPA 2023 alignment)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Upfront capital cost</w:t>
            </w:r>
            <w:r>
              <w:t xml:space="preserve"> </w:t>
            </w:r>
            <w:r>
              <w:t xml:space="preserve">for server, UPS, generator, network gear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LAN‑speed performance</w:t>
            </w:r>
            <w:r>
              <w:t xml:space="preserve"> </w:t>
            </w:r>
            <w:r>
              <w:t xml:space="preserve">— no internet round‑trip for in‑office users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risk</w:t>
            </w:r>
            <w:r>
              <w:t xml:space="preserve"> </w:t>
            </w:r>
            <w:r>
              <w:t xml:space="preserve">in Nigeria — mandatory UPS + generator + change‑over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during internet outages (LAN keeps running)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Single‑site disaster risk</w:t>
            </w:r>
            <w:r>
              <w:t xml:space="preserve"> </w:t>
            </w:r>
            <w:r>
              <w:t xml:space="preserve">(fire/theft/flood) unless backed up offsite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One‑time capex; predictable long‑term cost</w:t>
            </w:r>
          </w:p>
        </w:tc>
        <w:tc>
          <w:tcPr/>
          <w:p>
            <w:pPr>
              <w:pStyle w:val="Compact"/>
            </w:pPr>
            <w:r>
              <w:t xml:space="preserve">Requires in‑house/contracted IT for patching, monitoring,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dependence on a third‑party provider’s SLA</w:t>
            </w:r>
          </w:p>
        </w:tc>
        <w:tc>
          <w:tcPr/>
          <w:p>
            <w:pPr>
              <w:pStyle w:val="Compact"/>
            </w:pPr>
            <w:r>
              <w:t xml:space="preserve">Remote access needs a VPN you operate; harder for off‑site users</w:t>
            </w:r>
          </w:p>
        </w:tc>
      </w:tr>
    </w:tbl>
    <w:bookmarkEnd w:id="16"/>
    <w:bookmarkStart w:id="17" w:name="hybrid-options"/>
    <w:p>
      <w:pPr>
        <w:pStyle w:val="Heading3"/>
      </w:pPr>
      <w:r>
        <w:t xml:space="preserve">5.3 Hybrid Options</w:t>
      </w:r>
    </w:p>
    <w:p>
      <w:pPr>
        <w:pStyle w:val="FirstParagraph"/>
      </w:pPr>
      <w:r>
        <w:rPr>
          <w:b/>
          <w:bCs/>
        </w:rPr>
        <w:t xml:space="preserve">Option C — Deploy Online (primary) + Run On‑Premise (local node).</w:t>
      </w:r>
      <w:r>
        <w:t xml:space="preserve"> </w:t>
      </w:r>
      <w:r>
        <w:t xml:space="preserve">Primary in a Nigerian cloud, with an</w:t>
      </w:r>
      <w:r>
        <w:t xml:space="preserve"> </w:t>
      </w:r>
      <w:r>
        <w:rPr>
          <w:b/>
          <w:bCs/>
        </w:rPr>
        <w:t xml:space="preserve">on‑premise read replica/cache</w:t>
      </w:r>
      <w:r>
        <w:t xml:space="preserve"> </w:t>
      </w:r>
      <w:r>
        <w:t xml:space="preserve">(and/or local app node) so the office keeps working at LAN speed and survives short internet outages.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Pros:</w:t>
      </w:r>
      <w:r>
        <w:t xml:space="preserve"> </w:t>
      </w:r>
      <w:r>
        <w:t xml:space="preserve">cloud resilience + local speed; remote access easy.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Cons:</w:t>
      </w:r>
      <w:r>
        <w:t xml:space="preserve"> </w:t>
      </w:r>
      <w:r>
        <w:t xml:space="preserve">most complex to operate; needs reliable replication and conflict handling; two environments to maintain.</w:t>
      </w:r>
    </w:p>
    <w:p>
      <w:pPr>
        <w:pStyle w:val="BodyText"/>
      </w:pPr>
      <w:r>
        <w:rPr>
          <w:b/>
          <w:bCs/>
        </w:rPr>
        <w:t xml:space="preserve">Option D — Deploy On‑Premise (primary) + Back Up Online (DR).</w:t>
      </w:r>
      <w:r>
        <w:t xml:space="preserve"> </w:t>
      </w:r>
      <w:r>
        <w:t xml:space="preserve">⭐</w:t>
      </w:r>
      <w:r>
        <w:t xml:space="preserve"> </w:t>
      </w:r>
      <w:r>
        <w:rPr>
          <w:i/>
          <w:iCs/>
        </w:rPr>
        <w:t xml:space="preserve">recommended</w:t>
      </w:r>
      <w:r>
        <w:t xml:space="preserve"> </w:t>
      </w:r>
      <w:r>
        <w:t xml:space="preserve">Primary runs on a hardened OAG server (sovereignty + LAN speed + offline resilience);</w:t>
      </w:r>
      <w:r>
        <w:t xml:space="preserve"> </w:t>
      </w:r>
      <w:r>
        <w:rPr>
          <w:b/>
          <w:bCs/>
        </w:rPr>
        <w:t xml:space="preserve">automated, encrypted backups and a warm standby replicate continuously to a Nigerian Tier‑III cloud</w:t>
      </w:r>
      <w:r>
        <w:t xml:space="preserve"> </w:t>
      </w:r>
      <w:r>
        <w:t xml:space="preserve">for disaster recovery and optional secure remote access.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Pros:</w:t>
      </w:r>
      <w:r>
        <w:t xml:space="preserve"> </w:t>
      </w:r>
      <w:r>
        <w:t xml:space="preserve">best balance — sovereignty, performance,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offsite DR; clear primary; simpler than active‑active.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Cons:</w:t>
      </w:r>
      <w:r>
        <w:t xml:space="preserve"> </w:t>
      </w:r>
      <w:r>
        <w:t xml:space="preserve">needs the OAG server room + a modest cloud DR subscription; failover is warm (minutes), not instant.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b2d2e000f75acb3b11b3f0076b00e642f11ff59"/>
    <w:p>
      <w:pPr>
        <w:pStyle w:val="Heading2"/>
      </w:pPr>
      <w:r>
        <w:t xml:space="preserve">6. Recommended Infrastructure Specifications</w:t>
      </w:r>
    </w:p>
    <w:p>
      <w:pPr>
        <w:pStyle w:val="BlockText"/>
      </w:pPr>
      <w:r>
        <w:t xml:space="preserve">Sized for an OAG deployment of roughly</w:t>
      </w:r>
      <w:r>
        <w:t xml:space="preserve"> </w:t>
      </w:r>
      <w:r>
        <w:rPr>
          <w:b/>
          <w:bCs/>
        </w:rPr>
        <w:t xml:space="preserve">50–200 named users</w:t>
      </w:r>
      <w:r>
        <w:t xml:space="preserve"> </w:t>
      </w:r>
      <w:r>
        <w:t xml:space="preserve">across the four functions, with headroom. Scale RAM/vCPU up for higher concurrency or heavy month‑end/year‑end reporting peaks.</w:t>
      </w:r>
    </w:p>
    <w:bookmarkStart w:id="19" w:name="onpremise-server-for-speed-reliability"/>
    <w:p>
      <w:pPr>
        <w:pStyle w:val="Heading3"/>
      </w:pPr>
      <w:r>
        <w:t xml:space="preserve">6.1 On‑Premise Server (for speed &amp; reliability)</w:t>
      </w:r>
    </w:p>
    <w:p>
      <w:pPr>
        <w:pStyle w:val="FirstParagraph"/>
      </w:pPr>
      <w:r>
        <w:rPr>
          <w:b/>
          <w:bCs/>
        </w:rPr>
        <w:t xml:space="preserve">Form factor:</w:t>
      </w:r>
      <w:r>
        <w:t xml:space="preserve"> </w:t>
      </w:r>
      <w:r>
        <w:t xml:space="preserve">Enterprise rack server — e.g. </w:t>
      </w:r>
      <w:r>
        <w:rPr>
          <w:b/>
          <w:bCs/>
        </w:rPr>
        <w:t xml:space="preserve">Dell PowerEdge R760/R660</w:t>
      </w:r>
      <w:r>
        <w:t xml:space="preserve">,</w:t>
      </w:r>
      <w:r>
        <w:t xml:space="preserve"> </w:t>
      </w:r>
      <w:r>
        <w:rPr>
          <w:b/>
          <w:bCs/>
        </w:rPr>
        <w:t xml:space="preserve">HPE ProLiant DL380 Gen11</w:t>
      </w:r>
      <w:r>
        <w:t xml:space="preserve">, or</w:t>
      </w:r>
      <w:r>
        <w:t xml:space="preserve"> </w:t>
      </w:r>
      <w:r>
        <w:rPr>
          <w:b/>
          <w:bCs/>
        </w:rPr>
        <w:t xml:space="preserve">Lenovo ThinkSystem SR650 V3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1× (or 2× for HA headroom)</w:t>
            </w:r>
            <w:r>
              <w:t xml:space="preserve"> </w:t>
            </w:r>
            <w:r>
              <w:rPr>
                <w:b/>
                <w:bCs/>
              </w:rPr>
              <w:t xml:space="preserve">Intel Xeon Gold</w:t>
            </w:r>
            <w:r>
              <w:t xml:space="preserve"> </w:t>
            </w:r>
            <w:r>
              <w:t xml:space="preserve">(e.g. Gold 5418Y, 24‑core) or</w:t>
            </w:r>
            <w:r>
              <w:t xml:space="preserve"> </w:t>
            </w:r>
            <w:r>
              <w:rPr>
                <w:b/>
                <w:bCs/>
              </w:rPr>
              <w:t xml:space="preserve">AMD EPYC 9004</w:t>
            </w:r>
            <w:r>
              <w:t xml:space="preserve">; favour</w:t>
            </w:r>
            <w:r>
              <w:t xml:space="preserve"> </w:t>
            </w:r>
            <w:r>
              <w:rPr>
                <w:b/>
                <w:bCs/>
              </w:rPr>
              <w:t xml:space="preserve">high clock speed</w:t>
            </w:r>
          </w:p>
        </w:tc>
        <w:tc>
          <w:tcPr/>
          <w:p>
            <w:pPr>
              <w:pStyle w:val="Compact"/>
            </w:pPr>
            <w:r>
              <w:t xml:space="preserve">Django request handling and PostgreSQL benefit from strong single‑thread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 GB ECC DDR5</w:t>
            </w:r>
            <w:r>
              <w:t xml:space="preserve"> </w:t>
            </w:r>
            <w:r>
              <w:t xml:space="preserve">(minimum 64 GB)</w:t>
            </w:r>
          </w:p>
        </w:tc>
        <w:tc>
          <w:tcPr/>
          <w:p>
            <w:pPr>
              <w:pStyle w:val="Compact"/>
            </w:pPr>
            <w:r>
              <w:t xml:space="preserve">PostgreSQL caches working set in RAM → biggest single speed lever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(DB)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Enterprise/datacenter NVMe SSD in RAID 10</w:t>
            </w:r>
            <w:r>
              <w:t xml:space="preserve"> </w:t>
            </w:r>
            <w:r>
              <w:t xml:space="preserve">(e.g. 2–4 × 1.92 TB, Micron 7450 / Samsung PM9A3)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NVMe is critical</w:t>
            </w:r>
            <w:r>
              <w:t xml:space="preserve"> </w:t>
            </w:r>
            <w:r>
              <w:t xml:space="preserve">for transaction throughput and report queries; RAID 10 = speed + redundancy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(OS/app)</w:t>
            </w:r>
          </w:p>
        </w:tc>
        <w:tc>
          <w:tcPr/>
          <w:p>
            <w:pPr>
              <w:pStyle w:val="Compact"/>
            </w:pPr>
            <w:r>
              <w:t xml:space="preserve">2 × 960 GB NVMe</w:t>
            </w:r>
            <w:r>
              <w:t xml:space="preserve"> </w:t>
            </w:r>
            <w:r>
              <w:rPr>
                <w:b/>
                <w:bCs/>
              </w:rPr>
              <w:t xml:space="preserve">RAID 1</w:t>
            </w:r>
          </w:p>
        </w:tc>
        <w:tc>
          <w:tcPr/>
          <w:p>
            <w:pPr>
              <w:pStyle w:val="Compact"/>
            </w:pPr>
            <w:r>
              <w:t xml:space="preserve">Isolates OS/app I/O from the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RAID</w:t>
            </w:r>
          </w:p>
        </w:tc>
        <w:tc>
          <w:tcPr/>
          <w:p>
            <w:pPr>
              <w:pStyle w:val="Compact"/>
            </w:pPr>
            <w:r>
              <w:t xml:space="preserve">Hardware RAID controller with cache + battery/flash backup</w:t>
            </w:r>
          </w:p>
        </w:tc>
        <w:tc>
          <w:tcPr/>
          <w:p>
            <w:pPr>
              <w:pStyle w:val="Compact"/>
            </w:pPr>
            <w:r>
              <w:t xml:space="preserve">Write‑back cache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Dual</w:t>
            </w:r>
            <w:r>
              <w:t xml:space="preserve"> </w:t>
            </w:r>
            <w:r>
              <w:rPr>
                <w:b/>
                <w:bCs/>
              </w:rPr>
              <w:t xml:space="preserve">10 GbE</w:t>
            </w:r>
            <w:r>
              <w:t xml:space="preserve"> </w:t>
            </w:r>
            <w:r>
              <w:t xml:space="preserve">NIC (bonded)</w:t>
            </w:r>
          </w:p>
        </w:tc>
        <w:tc>
          <w:tcPr/>
          <w:p>
            <w:pPr>
              <w:pStyle w:val="Compact"/>
            </w:pPr>
            <w:r>
              <w:t xml:space="preserve">LAN throughput for concurrent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Redundant hot‑swap PSUs</w:t>
            </w:r>
          </w:p>
        </w:tc>
        <w:tc>
          <w:tcPr/>
          <w:p>
            <w:pPr>
              <w:pStyle w:val="Compact"/>
            </w:pPr>
            <w:r>
              <w:t xml:space="preserve">No single power‑supply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mgmt</w:t>
            </w:r>
          </w:p>
        </w:tc>
        <w:tc>
          <w:tcPr/>
          <w:p>
            <w:pPr>
              <w:pStyle w:val="Compact"/>
            </w:pPr>
            <w:r>
              <w:t xml:space="preserve">iDRAC (Dell) / iLO (HPE)</w:t>
            </w:r>
          </w:p>
        </w:tc>
        <w:tc>
          <w:tcPr/>
          <w:p>
            <w:pPr>
              <w:pStyle w:val="Compact"/>
            </w:pPr>
            <w:r>
              <w:t xml:space="preserve">Out‑of‑band administration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Supporting room infrastructure (mandatory in Nigeria):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Online (double‑conversion) UPS</w:t>
      </w:r>
      <w:r>
        <w:t xml:space="preserve"> </w:t>
      </w:r>
      <w:r>
        <w:t xml:space="preserve">sized for 30–60 min (e.g. APC Smart‑UPS SRT 3–6 kVA)</w:t>
      </w:r>
      <w:r>
        <w:t xml:space="preserve"> </w:t>
      </w:r>
      <w:r>
        <w:rPr>
          <w:b/>
          <w:bCs/>
        </w:rPr>
        <w:t xml:space="preserve">+ standby generator with automatic change‑over (ATS)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backup NAS</w:t>
      </w:r>
      <w:r>
        <w:t xml:space="preserve"> </w:t>
      </w:r>
      <w:r>
        <w:t xml:space="preserve">(e.g. Synology/QNAP, RAID, ≥8 TB usable) for nightly backups, separate from the server.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Firewall/UTM</w:t>
      </w:r>
      <w:r>
        <w:t xml:space="preserve"> </w:t>
      </w:r>
      <w:r>
        <w:t xml:space="preserve">(FortiGate / Sophos / pfSense), managed switch,</w:t>
      </w:r>
      <w:r>
        <w:t xml:space="preserve"> </w:t>
      </w:r>
      <w:r>
        <w:rPr>
          <w:b/>
          <w:bCs/>
        </w:rPr>
        <w:t xml:space="preserve">VLAN segmentation</w:t>
      </w:r>
      <w:r>
        <w:t xml:space="preserve">, and</w:t>
      </w:r>
      <w:r>
        <w:t xml:space="preserve"> </w:t>
      </w:r>
      <w:r>
        <w:rPr>
          <w:b/>
          <w:bCs/>
        </w:rPr>
        <w:t xml:space="preserve">air‑conditioned, access‑controlled</w:t>
      </w:r>
      <w:r>
        <w:t xml:space="preserve"> </w:t>
      </w:r>
      <w:r>
        <w:t xml:space="preserve">server room.</w:t>
      </w:r>
    </w:p>
    <w:bookmarkEnd w:id="19"/>
    <w:bookmarkStart w:id="20" w:name="vps-cloud-specification"/>
    <w:p>
      <w:pPr>
        <w:pStyle w:val="Heading3"/>
      </w:pPr>
      <w:r>
        <w:t xml:space="preserve">6.2 VPS / Cloud Specification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vCPU / 32 GB RAM / 100 GB NVMe</w:t>
            </w:r>
            <w:r>
              <w:t xml:space="preserve"> </w:t>
            </w:r>
            <w:r>
              <w:t xml:space="preserve">(scale to 16/64)</w:t>
            </w:r>
          </w:p>
        </w:tc>
        <w:tc>
          <w:tcPr/>
          <w:p>
            <w:pPr>
              <w:pStyle w:val="Compact"/>
            </w:pPr>
            <w:r>
              <w:t xml:space="preserve">Gunicorn/Uvicorn +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vCPU / 32 GB RAM / 500 GB NVMe</w:t>
            </w:r>
            <w:r>
              <w:t xml:space="preserve"> </w:t>
            </w:r>
            <w:r>
              <w:t xml:space="preserve">(dedicated or managed PostgreSQL)</w:t>
            </w:r>
          </w:p>
        </w:tc>
        <w:tc>
          <w:tcPr/>
          <w:p>
            <w:pPr>
              <w:pStyle w:val="Compact"/>
            </w:pPr>
            <w:r>
              <w:t xml:space="preserve">NVMe‑backed; daily snapshots + PITR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Cache/jobs</w:t>
            </w:r>
          </w:p>
        </w:tc>
        <w:tc>
          <w:tcPr/>
          <w:p>
            <w:pPr>
              <w:pStyle w:val="Compact"/>
            </w:pPr>
            <w:r>
              <w:t xml:space="preserve">2 vCPU / 4 GB (Redis + Celery worker)</w:t>
            </w:r>
          </w:p>
        </w:tc>
        <w:tc>
          <w:tcPr/>
          <w:p>
            <w:pPr>
              <w:pStyle w:val="Compact"/>
            </w:pPr>
            <w:r>
              <w:t xml:space="preserve">Background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S3‑compatible bucket (start ~250–500 GB, grows)</w:t>
            </w:r>
          </w:p>
        </w:tc>
        <w:tc>
          <w:tcPr/>
          <w:p>
            <w:pPr>
              <w:pStyle w:val="Compact"/>
            </w:pPr>
            <w:r>
              <w:t xml:space="preserve">Document Control 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≥99.9% SLA, dual‑homed;</w:t>
            </w:r>
            <w:r>
              <w:t xml:space="preserve"> </w:t>
            </w:r>
            <w:r>
              <w:rPr>
                <w:b/>
                <w:bCs/>
              </w:rPr>
              <w:t xml:space="preserve">dual ISP at OAG</w:t>
            </w:r>
            <w:r>
              <w:t xml:space="preserve"> </w:t>
            </w:r>
            <w:r>
              <w:t xml:space="preserve">for client side</w:t>
            </w:r>
          </w:p>
        </w:tc>
        <w:tc>
          <w:tcPr/>
          <w:p>
            <w:pPr>
              <w:pStyle w:val="Compact"/>
            </w:pPr>
            <w:r>
              <w:t xml:space="preserve">Avoid single connectivity point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Insist on:</w:t>
      </w:r>
      <w:r>
        <w:t xml:space="preserve"> </w:t>
      </w:r>
      <w:r>
        <w:rPr>
          <w:b/>
          <w:bCs/>
        </w:rPr>
        <w:t xml:space="preserve">dedicated/reserved vCPU (not over‑subscribed shared)</w:t>
      </w:r>
      <w:r>
        <w:t xml:space="preserve">,</w:t>
      </w:r>
      <w:r>
        <w:t xml:space="preserve"> </w:t>
      </w:r>
      <w:r>
        <w:rPr>
          <w:b/>
          <w:bCs/>
        </w:rPr>
        <w:t xml:space="preserve">NVMe</w:t>
      </w:r>
      <w:r>
        <w:t xml:space="preserve"> </w:t>
      </w:r>
      <w:r>
        <w:t xml:space="preserve">storage, automated snapshots + off‑node backups, and a documented</w:t>
      </w:r>
      <w:r>
        <w:t xml:space="preserve"> </w:t>
      </w:r>
      <w:r>
        <w:rPr>
          <w:b/>
          <w:bCs/>
        </w:rPr>
        <w:t xml:space="preserve">SLA (≥99.9%)</w:t>
      </w:r>
      <w:r>
        <w:t xml:space="preserve">.</w:t>
      </w:r>
    </w:p>
    <w:bookmarkEnd w:id="20"/>
    <w:bookmarkStart w:id="21" w:name="recommended-vps-cloud-type"/>
    <w:p>
      <w:pPr>
        <w:pStyle w:val="Heading3"/>
      </w:pPr>
      <w:r>
        <w:t xml:space="preserve">6.3 Recommended VPS Cloud Type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state government financial data</w:t>
      </w:r>
      <w:r>
        <w:t xml:space="preserve">, prioritise</w:t>
      </w:r>
      <w:r>
        <w:t xml:space="preserve"> </w:t>
      </w:r>
      <w:r>
        <w:rPr>
          <w:b/>
          <w:bCs/>
        </w:rPr>
        <w:t xml:space="preserve">data sovereignty (NDPA 2023)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low latency to Nigeria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Nigerian / sovereign cloud (preferred):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Galaxy Backbone</w:t>
      </w:r>
      <w:r>
        <w:t xml:space="preserve"> </w:t>
      </w:r>
      <w:r>
        <w:t xml:space="preserve">(the Federal Government’s own cloud/ICT infrastructure provider — strongest sovereignty fit for government workloads).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Rack Centre (Lagos, Tier III, carrier‑neutral)</w:t>
      </w:r>
      <w:r>
        <w:t xml:space="preserve">,</w:t>
      </w:r>
      <w:r>
        <w:t xml:space="preserve"> </w:t>
      </w:r>
      <w:r>
        <w:rPr>
          <w:b/>
          <w:bCs/>
        </w:rPr>
        <w:t xml:space="preserve">Open Access Data Centres (OADC)</w:t>
      </w:r>
      <w:r>
        <w:t xml:space="preserve">,</w:t>
      </w:r>
      <w:r>
        <w:t xml:space="preserve"> </w:t>
      </w:r>
      <w:r>
        <w:rPr>
          <w:b/>
          <w:bCs/>
        </w:rPr>
        <w:t xml:space="preserve">MainOne/Equinix LG1</w:t>
      </w:r>
      <w:r>
        <w:t xml:space="preserve">,</w:t>
      </w:r>
      <w:r>
        <w:t xml:space="preserve"> </w:t>
      </w:r>
      <w:r>
        <w:rPr>
          <w:b/>
          <w:bCs/>
        </w:rPr>
        <w:t xml:space="preserve">Layer3 Cloud</w:t>
      </w:r>
      <w:r>
        <w:t xml:space="preserve">,</w:t>
      </w:r>
      <w:r>
        <w:t xml:space="preserve"> </w:t>
      </w:r>
      <w:r>
        <w:rPr>
          <w:b/>
          <w:bCs/>
        </w:rPr>
        <w:t xml:space="preserve">Suburban</w:t>
      </w:r>
      <w:r>
        <w:t xml:space="preserve"> </w:t>
      </w:r>
      <w:r>
        <w:t xml:space="preserve">— Tier III Nigerian data centres offering VPS/private cloud.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Africa‑region hyperscaler (alternative):</w:t>
      </w:r>
      <w:r>
        <w:t xml:space="preserve"> </w:t>
      </w:r>
      <w:r>
        <w:t xml:space="preserve">AWS</w:t>
      </w:r>
      <w:r>
        <w:t xml:space="preserve"> </w:t>
      </w:r>
      <w:r>
        <w:rPr>
          <w:b/>
          <w:bCs/>
        </w:rPr>
        <w:t xml:space="preserve">af‑south‑1 (Cape Town)</w:t>
      </w:r>
      <w:r>
        <w:t xml:space="preserve"> </w:t>
      </w:r>
      <w:r>
        <w:t xml:space="preserve">or Azure</w:t>
      </w:r>
      <w:r>
        <w:t xml:space="preserve"> </w:t>
      </w:r>
      <w:r>
        <w:rPr>
          <w:b/>
          <w:bCs/>
        </w:rPr>
        <w:t xml:space="preserve">South Africa North (Johannesburg)</w:t>
      </w:r>
      <w:r>
        <w:t xml:space="preserve"> </w:t>
      </w:r>
      <w:r>
        <w:t xml:space="preserve">— lower latency than EU/US, but</w:t>
      </w:r>
      <w:r>
        <w:t xml:space="preserve"> </w:t>
      </w:r>
      <w:r>
        <w:rPr>
          <w:b/>
          <w:bCs/>
        </w:rPr>
        <w:t xml:space="preserve">offshore</w:t>
      </w:r>
      <w:r>
        <w:t xml:space="preserve">, so confirm it satisfies OAG/State data‑residency policy before use.</w:t>
      </w:r>
    </w:p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VPS / private (single‑tenant) cloud in a Tier‑III Nigerian data centre</w:t>
      </w:r>
      <w:r>
        <w:t xml:space="preserve">, ideally</w:t>
      </w:r>
      <w:r>
        <w:t xml:space="preserve"> </w:t>
      </w:r>
      <w:r>
        <w:rPr>
          <w:b/>
          <w:bCs/>
        </w:rPr>
        <w:t xml:space="preserve">Galaxy Backbone or Rack Centre</w:t>
      </w:r>
      <w:r>
        <w:t xml:space="preserve">, with reserved NVMe compute and a ≥99.9 % SLA. This keeps sovereign data in‑country while giving data‑centre‑grade power, cooling, and network.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3d6ee517c88ce8e90fff3e66a8fb171098ad2d4"/>
    <w:p>
      <w:pPr>
        <w:pStyle w:val="Heading2"/>
      </w:pPr>
      <w:r>
        <w:t xml:space="preserve">7. Best‑Fit Deployment Scenarios (Recommendation)</w:t>
      </w:r>
    </w:p>
    <w:bookmarkStart w:id="23" w:name="X4cb9a6abb2509b77fd6312209d7a7d3076e54fc"/>
    <w:p>
      <w:pPr>
        <w:pStyle w:val="Heading3"/>
      </w:pPr>
      <w:r>
        <w:t xml:space="preserve">🥇 Scenario 1 (Recommended) — On‑Premise Primary + Online (Nigerian) DR Backup</w:t>
      </w:r>
      <w:r>
        <w:t xml:space="preserve"> </w:t>
      </w:r>
      <w:r>
        <w:rPr>
          <w:i/>
          <w:iCs/>
        </w:rPr>
        <w:t xml:space="preserve">(Option 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hardened OAG on‑premise server (§6.1) — sovereignty, LAN speed, works offline.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DR:</w:t>
      </w:r>
      <w:r>
        <w:t xml:space="preserve"> </w:t>
      </w:r>
      <w:r>
        <w:t xml:space="preserve">continuous</w:t>
      </w:r>
      <w:r>
        <w:t xml:space="preserve"> </w:t>
      </w:r>
      <w:r>
        <w:rPr>
          <w:b/>
          <w:bCs/>
        </w:rPr>
        <w:t xml:space="preserve">encrypted backup + warm standby</w:t>
      </w:r>
      <w:r>
        <w:t xml:space="preserve"> </w:t>
      </w:r>
      <w:r>
        <w:t xml:space="preserve">to a Nigerian Tier‑III cloud (§6.3); restore/failover in minutes; doubles as a secure remote‑access entry point over VPN.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best:</w:t>
      </w:r>
      <w:r>
        <w:t xml:space="preserve"> </w:t>
      </w:r>
      <w:r>
        <w:t xml:space="preserve">maximises sovereignty and in‑office performance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removes the single‑site disaster risk — the classic government best practice.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Prerequisite:</w:t>
      </w:r>
      <w:r>
        <w:t xml:space="preserve"> </w:t>
      </w:r>
      <w:r>
        <w:t xml:space="preserve">OAG server room with redundant power (UPS + generator) and basic IT support.</w:t>
      </w:r>
    </w:p>
    <w:bookmarkEnd w:id="23"/>
    <w:bookmarkStart w:id="24" w:name="X5f9bbe3de9cb678dbf4aa226ee23c577e918656"/>
    <w:p>
      <w:pPr>
        <w:pStyle w:val="Heading3"/>
      </w:pPr>
      <w:r>
        <w:t xml:space="preserve">🥈 Scenario 2 (Fallback) — Nigerian Sovereign‑Cloud Primary + On‑Premise Local Backup/Cache</w:t>
      </w:r>
      <w:r>
        <w:t xml:space="preserve"> </w:t>
      </w:r>
      <w:r>
        <w:rPr>
          <w:i/>
          <w:iCs/>
        </w:rPr>
        <w:t xml:space="preserve">(Option C, simplified)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VPS/private cloud in a Nigerian Tier‑III DC;</w:t>
      </w:r>
      <w:r>
        <w:t xml:space="preserve"> </w:t>
      </w:r>
      <w:r>
        <w:rPr>
          <w:b/>
          <w:bCs/>
        </w:rPr>
        <w:t xml:space="preserve">local on‑prem backup</w:t>
      </w:r>
      <w:r>
        <w:t xml:space="preserve"> </w:t>
      </w:r>
      <w:r>
        <w:t xml:space="preserve">(NAS) + optional read cache for offline resilience.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best when OAG’s server‑room/power readiness is not yet in place; data stays in Nigeria; fastest to stand up.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Watch‑out:</w:t>
      </w:r>
      <w:r>
        <w:t xml:space="preserve"> </w:t>
      </w:r>
      <w:r>
        <w:t xml:space="preserve">require</w:t>
      </w:r>
      <w:r>
        <w:t xml:space="preserve"> </w:t>
      </w:r>
      <w:r>
        <w:rPr>
          <w:b/>
          <w:bCs/>
        </w:rPr>
        <w:t xml:space="preserve">dual ISP</w:t>
      </w:r>
      <w:r>
        <w:t xml:space="preserve"> </w:t>
      </w:r>
      <w:r>
        <w:t xml:space="preserve">at OAG so a single link failure doesn’t stop work.</w:t>
      </w:r>
    </w:p>
    <w:bookmarkEnd w:id="24"/>
    <w:bookmarkStart w:id="25" w:name="X6c2dc9ae00c3a5c2fe502f1e065a55578036024"/>
    <w:p>
      <w:pPr>
        <w:pStyle w:val="Heading3"/>
      </w:pPr>
      <w:r>
        <w:t xml:space="preserve">🥉 Scenario 3 (Advanced/Future) — Active‑Active On‑Prem + Cloud (HA)</w:t>
      </w:r>
    </w:p>
    <w:p>
      <w:pPr>
        <w:pStyle w:val="Compact"/>
        <w:numPr>
          <w:ilvl w:val="0"/>
          <w:numId w:val="1007"/>
        </w:numPr>
      </w:pPr>
      <w:r>
        <w:t xml:space="preserve">Both sites live with load balancing/replication for near‑zero downtime. Highest resilience, highest operational complexity and cost — consider only once volumes/criticality justify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Sc.1 On‑prem+Cloud DR</w:t>
            </w:r>
          </w:p>
        </w:tc>
        <w:tc>
          <w:tcPr/>
          <w:p>
            <w:pPr>
              <w:pStyle w:val="Compact"/>
            </w:pPr>
            <w:r>
              <w:t xml:space="preserve">Sc.2 Cloud‑primary+local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sovereignty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★★★★☆ (in‑country)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In‑office speed</w:t>
            </w:r>
          </w:p>
        </w:tc>
        <w:tc>
          <w:tcPr/>
          <w:p>
            <w:pPr>
              <w:pStyle w:val="Compact"/>
            </w:pPr>
            <w:r>
              <w:t xml:space="preserve">★★★★★ (LAN)</w:t>
            </w:r>
          </w:p>
        </w:tc>
        <w:tc>
          <w:tcPr/>
          <w:p>
            <w:pPr>
              <w:pStyle w:val="Compact"/>
            </w:pPr>
            <w:r>
              <w:t xml:space="preserve">★★★★☆ (depends on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Resilience to internet outage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★★☆☆☆ (needs dual ISP)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Upfront cost</w:t>
            </w:r>
          </w:p>
        </w:tc>
        <w:tc>
          <w:tcPr/>
          <w:p>
            <w:pPr>
              <w:pStyle w:val="Compact"/>
            </w:pPr>
            <w:r>
              <w:t xml:space="preserve">Higher (hardware)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Ongoing cost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 (recurring)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time</w:t>
            </w:r>
          </w:p>
        </w:tc>
        <w:tc>
          <w:tcPr/>
          <w:p>
            <w:pPr>
              <w:pStyle w:val="Compact"/>
            </w:pPr>
            <w:r>
              <w:t xml:space="preserve">Longer (room + hardware)</w:t>
            </w:r>
          </w:p>
        </w:tc>
        <w:tc>
          <w:tcPr/>
          <w:p>
            <w:pPr>
              <w:pStyle w:val="Compact"/>
            </w:pPr>
            <w:r>
              <w:t xml:space="preserve">Shortest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if…</w:t>
            </w:r>
          </w:p>
        </w:tc>
        <w:tc>
          <w:tcPr/>
          <w:p>
            <w:pPr>
              <w:pStyle w:val="Compact"/>
            </w:pPr>
            <w:r>
              <w:t xml:space="preserve">OAG has a proper server room + power</w:t>
            </w:r>
          </w:p>
        </w:tc>
        <w:tc>
          <w:tcPr/>
          <w:p>
            <w:pPr>
              <w:pStyle w:val="Compact"/>
            </w:pPr>
            <w:r>
              <w:t xml:space="preserve">Facility/power not yet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security-compliance-controls"/>
    <w:p>
      <w:pPr>
        <w:pStyle w:val="Heading2"/>
      </w:pPr>
      <w:r>
        <w:t xml:space="preserve">8. Security, Compliance &amp; Controls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NDPA 2023</w:t>
      </w:r>
      <w:r>
        <w:t xml:space="preserve"> </w:t>
      </w:r>
      <w:r>
        <w:t xml:space="preserve">alignment via in‑country hosting, encryption</w:t>
      </w:r>
      <w:r>
        <w:t xml:space="preserve"> </w:t>
      </w:r>
      <w:r>
        <w:rPr>
          <w:b/>
          <w:bCs/>
        </w:rPr>
        <w:t xml:space="preserve">in transit (TLS)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at rest</w:t>
      </w:r>
      <w:r>
        <w:t xml:space="preserve">, and least‑privilege access.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RBAC + Segregation of Duties</w:t>
      </w:r>
      <w:r>
        <w:t xml:space="preserve"> </w:t>
      </w:r>
      <w:r>
        <w:t xml:space="preserve">enforced in the application (create vs. approve vs. pay).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Full audit trail</w:t>
      </w:r>
      <w:r>
        <w:t xml:space="preserve"> </w:t>
      </w:r>
      <w:r>
        <w:t xml:space="preserve">of every posting, approval, and master‑data change.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IPSAS</w:t>
      </w:r>
      <w:r>
        <w:t xml:space="preserve"> </w:t>
      </w:r>
      <w:r>
        <w:t xml:space="preserve">accrual reporting +</w:t>
      </w:r>
      <w:r>
        <w:t xml:space="preserve"> </w:t>
      </w:r>
      <w:r>
        <w:rPr>
          <w:b/>
          <w:bCs/>
        </w:rPr>
        <w:t xml:space="preserve">GIFMIS‑aligned</w:t>
      </w:r>
      <w:r>
        <w:t xml:space="preserve"> </w:t>
      </w:r>
      <w:r>
        <w:t xml:space="preserve">budget/warrant control out of the box.</w:t>
      </w:r>
    </w:p>
    <w:p>
      <w:pPr>
        <w:pStyle w:val="Compact"/>
        <w:numPr>
          <w:ilvl w:val="0"/>
          <w:numId w:val="1008"/>
        </w:numPr>
      </w:pPr>
      <w:r>
        <w:t xml:space="preserve">Hardened deployment: firewall/UTM, VLAN segmentation, VPN‑only remote access, regular patching, and tested restores.</w:t>
      </w:r>
    </w:p>
    <w:bookmarkEnd w:id="27"/>
    <w:bookmarkStart w:id="28" w:name="migration-approach-odoo-quot-psa"/>
    <w:p>
      <w:pPr>
        <w:pStyle w:val="Heading2"/>
      </w:pPr>
      <w:r>
        <w:t xml:space="preserve">9. Migration Approach (Odoo → QUOT PSA)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Discovery &amp; mapping</w:t>
      </w:r>
      <w:r>
        <w:t xml:space="preserve"> </w:t>
      </w:r>
      <w:r>
        <w:t xml:space="preserve">— map Odoo chart of accounts to the</w:t>
      </w:r>
      <w:r>
        <w:t xml:space="preserve"> </w:t>
      </w:r>
      <w:r>
        <w:rPr>
          <w:b/>
          <w:bCs/>
        </w:rPr>
        <w:t xml:space="preserve">NCoA</w:t>
      </w:r>
      <w:r>
        <w:t xml:space="preserve"> </w:t>
      </w:r>
      <w:r>
        <w:t xml:space="preserve">segments; inventory open items.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Extract</w:t>
      </w:r>
      <w:r>
        <w:t xml:space="preserve"> </w:t>
      </w:r>
      <w:r>
        <w:t xml:space="preserve">— Odoo COA, balances, vendors/customers, open invoices/payments, contracts, and GL history.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Transform &amp; validate</w:t>
      </w:r>
      <w:r>
        <w:t xml:space="preserve"> </w:t>
      </w:r>
      <w:r>
        <w:t xml:space="preserve">— segment mapping, opening‑balance trial‑balance reconciliation (debits = credits).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Load</w:t>
      </w:r>
      <w:r>
        <w:t xml:space="preserve"> </w:t>
      </w:r>
      <w:r>
        <w:t xml:space="preserve">— into QUOT PSA per department/schema; verify control totals.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Parallel run</w:t>
      </w:r>
      <w:r>
        <w:t xml:space="preserve"> </w:t>
      </w:r>
      <w:r>
        <w:t xml:space="preserve">— run final reporting in both systems for 1–2 periods; reconcile.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Cutover</w:t>
      </w:r>
      <w:r>
        <w:t xml:space="preserve"> </w:t>
      </w:r>
      <w:r>
        <w:t xml:space="preserve">— freeze Odoo, go live on QUOT PSA, retain Odoo read‑only for history.</w:t>
      </w:r>
    </w:p>
    <w:bookmarkEnd w:id="28"/>
    <w:bookmarkStart w:id="29" w:name="indicative-implementation-phases"/>
    <w:p>
      <w:pPr>
        <w:pStyle w:val="Heading2"/>
      </w:pPr>
      <w:r>
        <w:t xml:space="preserve">10. Indicative Implementation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Indicative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Mobilisation, infrastructure provisioning, server‑room/cloud readiness</w:t>
            </w:r>
          </w:p>
        </w:tc>
        <w:tc>
          <w:tcPr/>
          <w:p>
            <w:pPr>
              <w:pStyle w:val="Compact"/>
            </w:pPr>
            <w:r>
              <w:t xml:space="preserve">2–4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 GL/NCoA, Budget &amp; Appropriation, Warrant/AIE config</w:t>
            </w:r>
          </w:p>
        </w:tc>
        <w:tc>
          <w:tcPr/>
          <w:p>
            <w:pPr>
              <w:pStyle w:val="Compact"/>
            </w:pPr>
            <w:r>
              <w:t xml:space="preserve">3–5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Treasury (TSA, PV, payments), AP/AR</w:t>
            </w:r>
          </w:p>
        </w:tc>
        <w:tc>
          <w:tcPr/>
          <w:p>
            <w:pPr>
              <w:pStyle w:val="Compact"/>
            </w:pPr>
            <w:r>
              <w:t xml:space="preserve">3–5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Contract Management, Fixed Assets, Document Control</w:t>
            </w:r>
          </w:p>
        </w:tc>
        <w:tc>
          <w:tcPr/>
          <w:p>
            <w:pPr>
              <w:pStyle w:val="Compac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IPSAS &amp; budget‑performance reporting, data migration, parallel run</w:t>
            </w:r>
          </w:p>
        </w:tc>
        <w:tc>
          <w:tcPr/>
          <w:p>
            <w:pPr>
              <w:pStyle w:val="Compact"/>
            </w:pPr>
            <w:r>
              <w:t xml:space="preserve">3–5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Training (4 functions), UAT, go‑live, hypercare</w:t>
            </w:r>
          </w:p>
        </w:tc>
        <w:tc>
          <w:tcPr/>
          <w:p>
            <w:pPr>
              <w:pStyle w:val="Compact"/>
            </w:pPr>
            <w:r>
              <w:t xml:space="preserve">3–4 weeks</w:t>
            </w:r>
          </w:p>
        </w:tc>
      </w:tr>
    </w:tbl>
    <w:p>
      <w:pPr>
        <w:pStyle w:val="BodyText"/>
      </w:pPr>
      <w:r>
        <w:rPr>
          <w:i/>
          <w:iCs/>
        </w:rPr>
        <w:t xml:space="preserve">(Phases overlap; total typically 4–6 months depending on data quality and readiness.)</w:t>
      </w:r>
    </w:p>
    <w:bookmarkEnd w:id="29"/>
    <w:bookmarkStart w:id="30" w:name="backup-disaster-recovery"/>
    <w:p>
      <w:pPr>
        <w:pStyle w:val="Heading2"/>
      </w:pPr>
      <w:r>
        <w:t xml:space="preserve">11. Backup &amp; Disaster Recovery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3‑2‑1 rule:</w:t>
      </w:r>
      <w:r>
        <w:t xml:space="preserve"> </w:t>
      </w:r>
      <w:r>
        <w:t xml:space="preserve">3 copies, 2 media, 1 offsite — satisfied natively by Scenario 1/2.</w:t>
      </w:r>
    </w:p>
    <w:p>
      <w:pPr>
        <w:pStyle w:val="Compact"/>
        <w:numPr>
          <w:ilvl w:val="0"/>
          <w:numId w:val="1010"/>
        </w:numPr>
      </w:pPr>
      <w:r>
        <w:t xml:space="preserve">Automated</w:t>
      </w:r>
      <w:r>
        <w:t xml:space="preserve"> </w:t>
      </w:r>
      <w:r>
        <w:rPr>
          <w:b/>
          <w:bCs/>
        </w:rPr>
        <w:t xml:space="preserve">nightly full + frequent incremental</w:t>
      </w:r>
      <w:r>
        <w:t xml:space="preserve"> </w:t>
      </w:r>
      <w:r>
        <w:t xml:space="preserve">PostgreSQL backups with</w:t>
      </w:r>
      <w:r>
        <w:t xml:space="preserve"> </w:t>
      </w:r>
      <w:r>
        <w:rPr>
          <w:b/>
          <w:bCs/>
        </w:rPr>
        <w:t xml:space="preserve">Point‑in‑Time Recovery (PITR)</w:t>
      </w:r>
      <w:r>
        <w:t xml:space="preserve">; document‑store (object) backups;</w:t>
      </w:r>
      <w:r>
        <w:t xml:space="preserve"> </w:t>
      </w:r>
      <w:r>
        <w:rPr>
          <w:b/>
          <w:bCs/>
        </w:rPr>
        <w:t xml:space="preserve">encrypted</w:t>
      </w:r>
      <w:r>
        <w:t xml:space="preserve"> </w:t>
      </w:r>
      <w:r>
        <w:t xml:space="preserve">at rest and in transit.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Quarterly restore drills</w:t>
      </w:r>
      <w:r>
        <w:t xml:space="preserve"> </w:t>
      </w:r>
      <w:r>
        <w:t xml:space="preserve">to prove recoverability (RPO target ≤ 24 h, ideally ≤ 1 h with PITR; RTO target a few hours).</w:t>
      </w:r>
    </w:p>
    <w:bookmarkEnd w:id="30"/>
    <w:bookmarkStart w:id="31" w:name="key-risks-mitigations"/>
    <w:p>
      <w:pPr>
        <w:pStyle w:val="Heading2"/>
      </w:pPr>
      <w:r>
        <w:t xml:space="preserve">12. Key 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instability (on‑prem)</w:t>
            </w:r>
          </w:p>
        </w:tc>
        <w:tc>
          <w:tcPr/>
          <w:p>
            <w:pPr>
              <w:pStyle w:val="Compact"/>
            </w:pPr>
            <w:r>
              <w:t xml:space="preserve">Online UPS + generator + ATS; cloud DR as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outage (cloud‑primary)</w:t>
            </w:r>
          </w:p>
        </w:tc>
        <w:tc>
          <w:tcPr/>
          <w:p>
            <w:pPr>
              <w:pStyle w:val="Compact"/>
            </w:pPr>
            <w:r>
              <w:t xml:space="preserve">Dual ISP; on‑prem cache/backup; on‑prem primary (Scenario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sovereignty</w:t>
            </w:r>
          </w:p>
        </w:tc>
        <w:tc>
          <w:tcPr/>
          <w:p>
            <w:pPr>
              <w:pStyle w:val="Compact"/>
            </w:pPr>
            <w:r>
              <w:t xml:space="preserve">In‑country (Nigerian Tier‑III) hosting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Data‑migration errors</w:t>
            </w:r>
          </w:p>
        </w:tc>
        <w:tc>
          <w:tcPr/>
          <w:p>
            <w:pPr>
              <w:pStyle w:val="Compact"/>
            </w:pPr>
            <w:r>
              <w:t xml:space="preserve">Trial‑balance reconciliation + parallel run before cutover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Skills/operations</w:t>
            </w:r>
          </w:p>
        </w:tc>
        <w:tc>
          <w:tcPr/>
          <w:p>
            <w:pPr>
              <w:pStyle w:val="Compact"/>
            </w:pPr>
            <w:r>
              <w:t xml:space="preserve">Admin training + support/maintenance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Single‑site loss</w:t>
            </w:r>
          </w:p>
        </w:tc>
        <w:tc>
          <w:tcPr/>
          <w:p>
            <w:pPr>
              <w:pStyle w:val="Compact"/>
            </w:pPr>
            <w:r>
              <w:t xml:space="preserve">Offsite encrypted DR (Scenario 1/2)</w:t>
            </w:r>
          </w:p>
        </w:tc>
      </w:tr>
    </w:tbl>
    <w:bookmarkEnd w:id="31"/>
    <w:bookmarkStart w:id="32" w:name="recommended-next-steps"/>
    <w:p>
      <w:pPr>
        <w:pStyle w:val="Heading2"/>
      </w:pPr>
      <w:r>
        <w:t xml:space="preserve">13. Recommended Next Steps</w:t>
      </w:r>
    </w:p>
    <w:p>
      <w:pPr>
        <w:pStyle w:val="Compact"/>
        <w:numPr>
          <w:ilvl w:val="0"/>
          <w:numId w:val="1011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user counts</w:t>
      </w:r>
      <w:r>
        <w:t xml:space="preserve"> </w:t>
      </w:r>
      <w:r>
        <w:t xml:space="preserve">per function and peak concurrency (to finalise sizing).</w:t>
      </w:r>
    </w:p>
    <w:p>
      <w:pPr>
        <w:pStyle w:val="Compact"/>
        <w:numPr>
          <w:ilvl w:val="0"/>
          <w:numId w:val="1011"/>
        </w:numPr>
      </w:pPr>
      <w:r>
        <w:t xml:space="preserve">Assess</w:t>
      </w:r>
      <w:r>
        <w:t xml:space="preserve"> </w:t>
      </w:r>
      <w:r>
        <w:rPr>
          <w:b/>
          <w:bCs/>
        </w:rPr>
        <w:t xml:space="preserve">OAG server‑room &amp; power readiness</w:t>
      </w:r>
      <w:r>
        <w:t xml:space="preserve"> </w:t>
      </w:r>
      <w:r>
        <w:t xml:space="preserve">→ decide Scenario 1 vs. Scenario 2.</w:t>
      </w:r>
    </w:p>
    <w:p>
      <w:pPr>
        <w:pStyle w:val="Compact"/>
        <w:numPr>
          <w:ilvl w:val="0"/>
          <w:numId w:val="1011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hosting choice</w:t>
      </w:r>
      <w:r>
        <w:t xml:space="preserve"> </w:t>
      </w:r>
      <w:r>
        <w:t xml:space="preserve">(Galaxy Backbone / Rack Centre / other) and data‑residency policy.</w:t>
      </w:r>
    </w:p>
    <w:p>
      <w:pPr>
        <w:pStyle w:val="Compact"/>
        <w:numPr>
          <w:ilvl w:val="0"/>
          <w:numId w:val="1011"/>
        </w:numPr>
      </w:pPr>
      <w:r>
        <w:t xml:space="preserve">Approve scope (this phase:</w:t>
      </w:r>
      <w:r>
        <w:t xml:space="preserve"> </w:t>
      </w:r>
      <w:r>
        <w:rPr>
          <w:b/>
          <w:bCs/>
        </w:rPr>
        <w:t xml:space="preserve">no PO, no HR</w:t>
      </w:r>
      <w:r>
        <w:t xml:space="preserve">) and migration plan.</w:t>
      </w:r>
    </w:p>
    <w:p>
      <w:pPr>
        <w:pStyle w:val="Compact"/>
        <w:numPr>
          <w:ilvl w:val="0"/>
          <w:numId w:val="1011"/>
        </w:numPr>
      </w:pPr>
      <w:r>
        <w:t xml:space="preserve">Finalise commercials (licence + implementation + hosting/hardware + support) and project schedule.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as a working draft for OAG Delta State. Figures (server sizing, durations) are indicative and will be confirmed during the discovery phase against actual user counts, data volumes, and facility readiness.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2026-06-07T21:53:51Z</dcterms:created>
  <dcterms:modified xsi:type="dcterms:W3CDTF">2026-06-07T21:53:51Z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