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Carpal Tunnel Syndrome</w:t>
      </w:r>
    </w:p>
    <w:p>
      <w:pPr>
        <w:pStyle w:val="Heading2"/>
      </w:pPr>
      <w:r>
        <w:t xml:space="preserve">What Is Carpal Tunnel Syndrome?</w:t>
      </w:r>
    </w:p>
    <w:p>
      <w:pPr>
        <w:spacing w:after="120"/>
      </w:pPr>
      <w:r>
        <w:t xml:space="preserve">Carpal tunnel syndrome (CTS) is the most common nerve compression condition of the upper extremity. It occurs when the median nerve is compressed as it passes through the carpal tunnel — a narrow passageway in the wrist formed by bones and a thick ligament (the transverse carpal ligament).</w:t>
      </w:r>
    </w:p>
    <w:p>
      <w:pPr>
        <w:pStyle w:val="Heading2"/>
      </w:pPr>
      <w:r>
        <w:t xml:space="preserve">Symptoms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Numbness and tingling in the thumb, index, middle, and ring fingers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Symptoms often worse at night or when holding objects (driving, reading, phone use)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Aching pain in the wrist, hand, or forearm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Weakness and clumsiness with fine motor tasks (buttoning, gripping)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advanced cases: persistent numbness, muscle wasting at the base of the thumb</w:t>
      </w:r>
    </w:p>
    <w:p>
      <w:pPr>
        <w:pStyle w:val="Heading2"/>
      </w:pPr>
      <w:r>
        <w:t xml:space="preserve">Causes &amp; Risk Factors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Repetitive hand and wrist motions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Pregnancy and hormonal changes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Diabetes, thyroid disorders, and rheumatoid arthritis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Wrist fractures or dislocations that narrow the carpal tunnel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More common in women and adults over 40</w:t>
      </w:r>
    </w:p>
    <w:p>
      <w:pPr>
        <w:pStyle w:val="Heading2"/>
      </w:pPr>
      <w:r>
        <w:t xml:space="preserve">Diagnosis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Physical examination including Tinel, Phalen, and compression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Nerve conduction studies / electromyography (NCS/EMG) to confirm and grade severity</w:t>
      </w:r>
    </w:p>
    <w:p>
      <w:pPr>
        <w:pStyle w:val="Heading2"/>
      </w:pPr>
      <w:r>
        <w:t xml:space="preserve">Non-Surgical Treatment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Wrist splinting: </w:t>
      </w:r>
      <w:r>
        <w:t xml:space="preserve">A neutral-position wrist splint worn at night keeps the carpal tunnel open and reduces symptoms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Activity modification: </w:t>
      </w:r>
      <w:r>
        <w:t xml:space="preserve">Avoiding prolonged wrist flexion/extension and repetitive gripping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Anti-inflammatory medications: </w:t>
      </w:r>
      <w:r>
        <w:t xml:space="preserve">NSAIDs may provide short-term relief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Corticosteroid injection: </w:t>
      </w:r>
      <w:r>
        <w:t xml:space="preserve">An injection into the carpal tunnel can reduce swelling and provide temporary relief, also useful as a diagnostic tool</w:t>
      </w:r>
    </w:p>
    <w:p>
      <w:pPr>
        <w:pStyle w:val="Heading2"/>
      </w:pPr>
      <w:r>
        <w:t xml:space="preserve">Surgical Treatment: Carpal Tunnel Release</w:t>
      </w:r>
    </w:p>
    <w:p>
      <w:pPr>
        <w:spacing w:after="120"/>
      </w:pPr>
      <w:r>
        <w:t xml:space="preserve">When non-surgical treatment fails or nerve compression is severe, carpal tunnel release surgery is recommended. The transverse carpal ligament is divided to relieve pressure on the median nerve.</w:t>
      </w:r>
    </w:p>
    <w:p>
      <w:pPr>
        <w:spacing w:after="120"/>
      </w:pPr>
      <w:r>
        <w:rPr>
          <w:b/>
          <w:bCs/>
        </w:rPr>
        <w:t xml:space="preserve">Procedure details: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Performed as an outpatient procedure under local anesthesia (often WALANT — Wide Awake Local Anesthesia No Tourniquet)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incision in the palm (~2-3 cm)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takes approximately 10-15 minutes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Immediate finger motion is encouraged</w:t>
      </w:r>
    </w:p>
    <w:p>
      <w:pPr>
        <w:pStyle w:val="Heading2"/>
      </w:pPr>
      <w:r>
        <w:t xml:space="preserve">Recovery After Surgery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 1: </w:t>
      </w:r>
      <w:r>
        <w:t xml:space="preserve">Keep hand elevated. Move fingers frequently. Light activities permitted.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Weeks 2-4: </w:t>
      </w:r>
      <w:r>
        <w:t xml:space="preserve">Suture removal. Gradual return to daily activities. Grip and pinch strengthening begins.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Weeks 4-12: </w:t>
      </w:r>
      <w:r>
        <w:t xml:space="preserve">Progressive return to full activities. Pillar pain (soreness at the palm incision) is common and gradually resolves.</w:t>
      </w:r>
    </w:p>
    <w:p>
      <w:pPr>
        <w:spacing w:after="120"/>
      </w:pPr>
      <w:r>
        <w:t xml:space="preserve">Numbness and tingling typically improve quickly after surgery. In severe or longstanding cases, nerve recovery may take several months, and some residual numbness may persist.</w:t>
      </w:r>
    </w:p>
    <w:p>
      <w:pPr>
        <w:pStyle w:val="Heading2"/>
      </w:pPr>
      <w:r>
        <w:t xml:space="preserve">When to Call Your Doctor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Signs of infection at the incision site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Worsening numbness or new weakness after surgery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symptoms beyond 3 months post-surgery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2026-03-31T15:44:28.084Z</dcterms:created>
  <dcterms:modified xsi:type="dcterms:W3CDTF">2026-03-31T15:44:28.084Z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