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De Quervain's Tenosynovitis</w:t>
      </w:r>
    </w:p>
    <w:p>
      <w:pPr>
        <w:pStyle w:val="Heading2"/>
      </w:pPr>
      <w:r>
        <w:t xml:space="preserve">What Is De Quervain's?</w:t>
      </w:r>
    </w:p>
    <w:p>
      <w:pPr>
        <w:spacing w:after="120"/>
      </w:pPr>
      <w:r>
        <w:t xml:space="preserve">De Quervain's tenosynovitis is inflammation of the tendons on the thumb side of the wrist (the first dorsal compartment). These tendons (abductor pollicis longus and extensor pollicis brevis) help move the thumb away from the hand. When the sheath around them thickens, the tendons cannot glide smoothly, causing pain.</w:t>
      </w:r>
    </w:p>
    <w:p>
      <w:pPr>
        <w:pStyle w:val="Heading2"/>
      </w:pPr>
      <w:r>
        <w:t xml:space="preserve">Symptoms</w:t>
      </w:r>
    </w:p>
    <w:p>
      <w:pPr>
        <w:pStyle w:val="ListParagraph"/>
        <w:numPr>
          <w:ilvl w:val="0"/>
          <w:numId w:val="2"/>
        </w:numPr>
        <w:spacing w:after="60"/>
      </w:pPr>
      <w:r>
        <w:t xml:space="preserve">Pain on the thumb side of the wrist, especially with gripping, twisting, or thumb motion</w:t>
      </w:r>
    </w:p>
    <w:p>
      <w:pPr>
        <w:pStyle w:val="ListParagraph"/>
        <w:numPr>
          <w:ilvl w:val="0"/>
          <w:numId w:val="2"/>
        </w:numPr>
        <w:spacing w:after="60"/>
      </w:pPr>
      <w:r>
        <w:t xml:space="preserve">Swelling near the base of the thumb</w:t>
      </w:r>
    </w:p>
    <w:p>
      <w:pPr>
        <w:pStyle w:val="ListParagraph"/>
        <w:numPr>
          <w:ilvl w:val="0"/>
          <w:numId w:val="2"/>
        </w:numPr>
        <w:spacing w:after="60"/>
      </w:pPr>
      <w:r>
        <w:t xml:space="preserve">A "sticking" or snapping sensation when moving the thumb</w:t>
      </w:r>
    </w:p>
    <w:p>
      <w:pPr>
        <w:pStyle w:val="ListParagraph"/>
        <w:numPr>
          <w:ilvl w:val="0"/>
          <w:numId w:val="2"/>
        </w:numPr>
        <w:spacing w:after="60"/>
      </w:pPr>
      <w:r>
        <w:t xml:space="preserve">Pain with the Finkelstein test (bending the thumb across the palm and tilting the wrist)</w:t>
      </w:r>
    </w:p>
    <w:p>
      <w:pPr>
        <w:pStyle w:val="Heading2"/>
      </w:pPr>
      <w:r>
        <w:t xml:space="preserve">Causes &amp; Risk Factors</w:t>
      </w:r>
    </w:p>
    <w:p>
      <w:pPr>
        <w:pStyle w:val="ListParagraph"/>
        <w:numPr>
          <w:ilvl w:val="0"/>
          <w:numId w:val="2"/>
        </w:numPr>
        <w:spacing w:after="60"/>
      </w:pPr>
      <w:r>
        <w:t xml:space="preserve">Repetitive thumb and wrist motions (texting, gaming, lifting a baby)</w:t>
      </w:r>
    </w:p>
    <w:p>
      <w:pPr>
        <w:pStyle w:val="ListParagraph"/>
        <w:numPr>
          <w:ilvl w:val="0"/>
          <w:numId w:val="2"/>
        </w:numPr>
        <w:spacing w:after="60"/>
      </w:pPr>
      <w:r>
        <w:t xml:space="preserve">New parents ("new mom's thumb" or "de Quervain's of parenthood")</w:t>
      </w:r>
    </w:p>
    <w:p>
      <w:pPr>
        <w:pStyle w:val="ListParagraph"/>
        <w:numPr>
          <w:ilvl w:val="0"/>
          <w:numId w:val="2"/>
        </w:numPr>
        <w:spacing w:after="60"/>
      </w:pPr>
      <w:r>
        <w:t xml:space="preserve">Hormonal changes (pregnancy, postpartum)</w:t>
      </w:r>
    </w:p>
    <w:p>
      <w:pPr>
        <w:pStyle w:val="ListParagraph"/>
        <w:numPr>
          <w:ilvl w:val="0"/>
          <w:numId w:val="2"/>
        </w:numPr>
        <w:spacing w:after="60"/>
      </w:pPr>
      <w:r>
        <w:t xml:space="preserve">Rheumatoid arthritis</w:t>
      </w:r>
    </w:p>
    <w:p>
      <w:pPr>
        <w:pStyle w:val="Heading2"/>
      </w:pPr>
      <w:r>
        <w:t xml:space="preserve">Non-Surgical Treatment</w:t>
      </w:r>
    </w:p>
    <w:p>
      <w:pPr>
        <w:pStyle w:val="ListParagraph"/>
        <w:numPr>
          <w:ilvl w:val="0"/>
          <w:numId w:val="2"/>
        </w:numPr>
        <w:spacing w:after="60"/>
      </w:pPr>
      <w:r>
        <w:rPr>
          <w:b/>
          <w:bCs/>
        </w:rPr>
        <w:t xml:space="preserve">Thumb spica splint: </w:t>
      </w:r>
      <w:r>
        <w:t xml:space="preserve">Immobilizes the thumb and wrist to rest the inflamed tendons</w:t>
      </w:r>
    </w:p>
    <w:p>
      <w:pPr>
        <w:pStyle w:val="ListParagraph"/>
        <w:numPr>
          <w:ilvl w:val="0"/>
          <w:numId w:val="2"/>
        </w:numPr>
        <w:spacing w:after="60"/>
      </w:pPr>
      <w:r>
        <w:rPr>
          <w:b/>
          <w:bCs/>
        </w:rPr>
        <w:t xml:space="preserve">Anti-inflammatory medications: </w:t>
      </w:r>
      <w:r>
        <w:t xml:space="preserve">NSAIDs for pain and inflammation</w:t>
      </w:r>
    </w:p>
    <w:p>
      <w:pPr>
        <w:pStyle w:val="ListParagraph"/>
        <w:numPr>
          <w:ilvl w:val="0"/>
          <w:numId w:val="2"/>
        </w:numPr>
        <w:spacing w:after="60"/>
      </w:pPr>
      <w:r>
        <w:rPr>
          <w:b/>
          <w:bCs/>
        </w:rPr>
        <w:t xml:space="preserve">Corticosteroid injection: </w:t>
      </w:r>
      <w:r>
        <w:t xml:space="preserve">Highly effective. Studies show 60-80% resolution with a single injection.</w:t>
      </w:r>
    </w:p>
    <w:p>
      <w:pPr>
        <w:pStyle w:val="ListParagraph"/>
        <w:numPr>
          <w:ilvl w:val="0"/>
          <w:numId w:val="2"/>
        </w:numPr>
        <w:spacing w:after="60"/>
      </w:pPr>
      <w:r>
        <w:rPr>
          <w:b/>
          <w:bCs/>
        </w:rPr>
        <w:t xml:space="preserve">Activity modification: </w:t>
      </w:r>
      <w:r>
        <w:t xml:space="preserve">Avoid repetitive thumb pinching and wrist deviation</w:t>
      </w:r>
    </w:p>
    <w:p>
      <w:pPr>
        <w:pStyle w:val="Heading2"/>
      </w:pPr>
      <w:r>
        <w:t xml:space="preserve">Surgical Treatment</w:t>
      </w:r>
    </w:p>
    <w:p>
      <w:pPr>
        <w:spacing w:after="120"/>
      </w:pPr>
      <w:r>
        <w:t xml:space="preserve">If injections and splinting fail, a surgical release of the first dorsal compartment is performed. This outpatient procedure involves a small incision over the thumb side of the wrist to open the tight tendon sheath.</w:t>
      </w:r>
    </w:p>
    <w:p>
      <w:pPr>
        <w:pStyle w:val="Heading2"/>
      </w:pPr>
      <w:r>
        <w:t xml:space="preserve">Recovery After Surgery</w:t>
      </w:r>
    </w:p>
    <w:p>
      <w:pPr>
        <w:pStyle w:val="ListParagraph"/>
        <w:numPr>
          <w:ilvl w:val="0"/>
          <w:numId w:val="2"/>
        </w:numPr>
        <w:spacing w:after="60"/>
      </w:pPr>
      <w:r>
        <w:t xml:space="preserve">Suture removal at 10-14 days</w:t>
      </w:r>
    </w:p>
    <w:p>
      <w:pPr>
        <w:pStyle w:val="ListParagraph"/>
        <w:numPr>
          <w:ilvl w:val="0"/>
          <w:numId w:val="2"/>
        </w:numPr>
        <w:spacing w:after="60"/>
      </w:pPr>
      <w:r>
        <w:t xml:space="preserve">Gentle thumb and wrist motion begins immediately</w:t>
      </w:r>
    </w:p>
    <w:p>
      <w:pPr>
        <w:pStyle w:val="ListParagraph"/>
        <w:numPr>
          <w:ilvl w:val="0"/>
          <w:numId w:val="2"/>
        </w:numPr>
        <w:spacing w:after="60"/>
      </w:pPr>
      <w:r>
        <w:t xml:space="preserve">Most patients return to full activities within 4-6 weeks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Calibri" w:cs="Calibri" w:eastAsia="Calibri" w:hAnsi="Calibri"/>
        <w:i/>
        <w:iCs/>
        <w:color w:val="999999"/>
        <w:sz w:val="16"/>
        <w:szCs w:val="16"/>
      </w:rPr>
      <w:t xml:space="preserve">This document is for educational purposes only and does not replace personalized medical advice.</w:t>
    </w:r>
  </w:p>
  <w:p>
    <w:pPr>
      <w:jc w:val="center"/>
    </w:pPr>
    <w:r>
      <w:rPr>
        <w:rFonts w:ascii="Calibri" w:cs="Calibri" w:eastAsia="Calibri" w:hAnsi="Calibri"/>
        <w:color w:val="1a3a5c"/>
        <w:sz w:val="16"/>
        <w:szCs w:val="16"/>
      </w:rPr>
      <w:t xml:space="preserve">jamesoostenmd.com</w:t>
    </w:r>
    <w:r>
      <w:rPr>
        <w:rFonts w:ascii="Calibri" w:cs="Calibri" w:eastAsia="Calibri" w:hAnsi="Calibri"/>
        <w:color w:val="999999"/>
        <w:sz w:val="16"/>
        <w:szCs w:val="16"/>
      </w:rPr>
      <w:t xml:space="preserve">  |  Page </w:t>
    </w:r>
    <w:r>
      <w:rPr>
        <w:rFonts w:ascii="Calibri" w:cs="Calibri" w:eastAsia="Calibri" w:hAnsi="Calibri"/>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4" w:space="4"/>
      </w:pBdr>
      <w:jc w:val="right"/>
    </w:pPr>
    <w:r>
      <w:rPr>
        <w:rFonts w:ascii="Calibri" w:cs="Calibri" w:eastAsia="Calibri" w:hAnsi="Calibri"/>
        <w:b/>
        <w:bCs/>
        <w:color w:val="1a3a5c"/>
        <w:sz w:val="18"/>
        <w:szCs w:val="18"/>
      </w:rPr>
      <w:t xml:space="preserve">James D. Oosten, MD</w:t>
    </w:r>
    <w:r>
      <w:rPr>
        <w:rFonts w:ascii="Calibri" w:cs="Calibri" w:eastAsia="Calibri" w:hAnsi="Calibri"/>
        <w:color w:val="888888"/>
        <w:sz w:val="18"/>
        <w:szCs w:val="18"/>
      </w:rPr>
      <w:t xml:space="preserve">  |  Upper Extremity Orthopedic Surgery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a3a5c"/>
      <w:sz w:val="36"/>
      <w:szCs w:val="36"/>
    </w:rPr>
  </w:style>
  <w:style w:type="paragraph" w:styleId="Heading2">
    <w:name w:val="Heading 2"/>
    <w:basedOn w:val="Normal"/>
    <w:next w:val="Normal"/>
    <w:qFormat/>
    <w:pPr>
      <w:spacing w:after="100" w:before="200"/>
      <w:outlineLvl w:val="1"/>
    </w:pPr>
    <w:rPr>
      <w:rFonts w:ascii="Calibri" w:cs="Calibri" w:eastAsia="Calibri" w:hAnsi="Calibri"/>
      <w:b/>
      <w:bCs/>
      <w:color w:val="2a5a8c"/>
      <w:sz w:val="28"/>
      <w:szCs w:val="28"/>
    </w:rPr>
  </w:style>
  <w:style w:type="paragraph" w:styleId="Heading3">
    <w:name w:val="Heading 3"/>
    <w:basedOn w:val="Normal"/>
    <w:next w:val="Normal"/>
    <w:qFormat/>
    <w:pPr>
      <w:spacing w:after="80" w:before="160"/>
      <w:outlineLvl w:val="2"/>
    </w:pPr>
    <w:rPr>
      <w:rFonts w:ascii="Calibri" w:cs="Calibri" w:eastAsia="Calibri" w:hAnsi="Calibri"/>
      <w:b/>
      <w:bCs/>
      <w:color w:val="3d8eb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2026-03-31T15:44:28.258Z</dcterms:created>
  <dcterms:modified xsi:type="dcterms:W3CDTF">2026-03-31T15:44:28.258Z</dcterms:modified>
</cp:coreProperties>
</file>

<file path=docProps/custom.xml><?xml version="1.0" encoding="utf-8"?>
<Properties xmlns="http://schemas.openxmlformats.org/officeDocument/2006/custom-properties" xmlns:vt="http://schemas.openxmlformats.org/officeDocument/2006/docPropsVTypes"/>
</file>