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Extensor Tendon Injury</w:t>
      </w:r>
    </w:p>
    <w:p>
      <w:pPr>
        <w:pStyle w:val="Heading2"/>
      </w:pPr>
      <w:r>
        <w:t xml:space="preserve">What Are Extensor Tendons?</w:t>
      </w:r>
    </w:p>
    <w:p>
      <w:pPr>
        <w:spacing w:after="120"/>
      </w:pPr>
      <w:r>
        <w:t xml:space="preserve">Extensor tendons run along the back of the hand and fingers, connecting the forearm muscles to the finger bones. They allow you to straighten (extend) your fingers and wrist. Because they lie just beneath the skin, they are vulnerable to injury.</w:t>
      </w:r>
    </w:p>
    <w:p>
      <w:pPr>
        <w:pStyle w:val="Heading2"/>
      </w:pPr>
      <w:r>
        <w:t xml:space="preserve">Common Types of Extensor Tendon Injuries</w:t>
      </w:r>
    </w:p>
    <w:p>
      <w:pPr>
        <w:pStyle w:val="Heading3"/>
      </w:pPr>
      <w:r>
        <w:t xml:space="preserve">Mallet Finger</w:t>
      </w:r>
    </w:p>
    <w:p>
      <w:pPr>
        <w:spacing w:after="120"/>
      </w:pPr>
      <w:r>
        <w:t xml:space="preserve">A mallet finger occurs when the extensor tendon at the fingertip is damaged, causing the tip of the finger to droop. This commonly results from a ball striking the end of an extended finger.</w:t>
      </w:r>
    </w:p>
    <w:p>
      <w:pPr>
        <w:pStyle w:val="ListParagraph"/>
        <w:numPr>
          <w:ilvl w:val="0"/>
          <w:numId w:val="2"/>
        </w:numPr>
        <w:spacing w:after="60"/>
      </w:pPr>
      <w:r>
        <w:t xml:space="preserve">Treatment: Continuous splinting of the fingertip in a straight position for 6-8 weeks</w:t>
      </w:r>
    </w:p>
    <w:p>
      <w:pPr>
        <w:pStyle w:val="ListParagraph"/>
        <w:numPr>
          <w:ilvl w:val="0"/>
          <w:numId w:val="2"/>
        </w:numPr>
        <w:spacing w:after="60"/>
      </w:pPr>
      <w:r>
        <w:t xml:space="preserve">Surgery may be needed if a large fracture fragment is present</w:t>
      </w:r>
    </w:p>
    <w:p>
      <w:pPr>
        <w:pStyle w:val="Heading3"/>
      </w:pPr>
      <w:r>
        <w:t xml:space="preserve">Boutonniere Deformity</w:t>
      </w:r>
    </w:p>
    <w:p>
      <w:pPr>
        <w:spacing w:after="120"/>
      </w:pPr>
      <w:r>
        <w:t xml:space="preserve">This occurs when the central slip of the extensor tendon over the middle joint (PIP joint) is disrupted. The middle joint bends down while the fingertip hyperextends.</w:t>
      </w:r>
    </w:p>
    <w:p>
      <w:pPr>
        <w:pStyle w:val="ListParagraph"/>
        <w:numPr>
          <w:ilvl w:val="0"/>
          <w:numId w:val="2"/>
        </w:numPr>
        <w:spacing w:after="60"/>
      </w:pPr>
      <w:r>
        <w:t xml:space="preserve">Treatment: Splinting of the PIP joint in extension for 6 weeks with active DIP flexion exercises</w:t>
      </w:r>
    </w:p>
    <w:p>
      <w:pPr>
        <w:pStyle w:val="ListParagraph"/>
        <w:numPr>
          <w:ilvl w:val="0"/>
          <w:numId w:val="2"/>
        </w:numPr>
        <w:spacing w:after="60"/>
      </w:pPr>
      <w:r>
        <w:t xml:space="preserve">Surgical repair may be necessary for chronic or severe cases</w:t>
      </w:r>
    </w:p>
    <w:p>
      <w:pPr>
        <w:pStyle w:val="Heading3"/>
      </w:pPr>
      <w:r>
        <w:t xml:space="preserve">Lacerations on the Back of the Hand</w:t>
      </w:r>
    </w:p>
    <w:p>
      <w:pPr>
        <w:spacing w:after="120"/>
      </w:pPr>
      <w:r>
        <w:t xml:space="preserve">Cuts over the back of the hand or wrist can sever extensor tendons. Surgical repair is typically recommended for complete tendon lacerations.</w:t>
      </w:r>
    </w:p>
    <w:p>
      <w:pPr>
        <w:pStyle w:val="Heading2"/>
      </w:pPr>
      <w:r>
        <w:t xml:space="preserve">Surgical Repair</w:t>
      </w:r>
    </w:p>
    <w:p>
      <w:pPr>
        <w:spacing w:after="120"/>
      </w:pPr>
      <w:r>
        <w:t xml:space="preserve">Extensor tendon repair involves stitching the torn tendon ends together. Recovery protocols vary based on the zone of injury (location along the finger, hand, or wrist).</w:t>
      </w:r>
    </w:p>
    <w:p>
      <w:pPr>
        <w:pStyle w:val="Heading2"/>
      </w:pPr>
      <w:r>
        <w:t xml:space="preserve">Rehabilitation</w:t>
      </w:r>
    </w:p>
    <w:p>
      <w:pPr>
        <w:pStyle w:val="ListParagraph"/>
        <w:numPr>
          <w:ilvl w:val="0"/>
          <w:numId w:val="2"/>
        </w:numPr>
        <w:spacing w:after="60"/>
      </w:pPr>
      <w:r>
        <w:rPr>
          <w:b/>
          <w:bCs/>
        </w:rPr>
        <w:t xml:space="preserve">Weeks 0-4: </w:t>
      </w:r>
      <w:r>
        <w:t xml:space="preserve">Protective splinting. Controlled motion exercises as guided by your hand therapist.</w:t>
      </w:r>
    </w:p>
    <w:p>
      <w:pPr>
        <w:pStyle w:val="ListParagraph"/>
        <w:numPr>
          <w:ilvl w:val="0"/>
          <w:numId w:val="2"/>
        </w:numPr>
        <w:spacing w:after="60"/>
      </w:pPr>
      <w:r>
        <w:rPr>
          <w:b/>
          <w:bCs/>
        </w:rPr>
        <w:t xml:space="preserve">Weeks 4-8: </w:t>
      </w:r>
      <w:r>
        <w:t xml:space="preserve">Gradual increase in active range of motion.</w:t>
      </w:r>
    </w:p>
    <w:p>
      <w:pPr>
        <w:pStyle w:val="ListParagraph"/>
        <w:numPr>
          <w:ilvl w:val="0"/>
          <w:numId w:val="2"/>
        </w:numPr>
        <w:spacing w:after="60"/>
      </w:pPr>
      <w:r>
        <w:rPr>
          <w:b/>
          <w:bCs/>
        </w:rPr>
        <w:t xml:space="preserve">Weeks 8-12: </w:t>
      </w:r>
      <w:r>
        <w:t xml:space="preserve">Progressive strengthening and return to activities.</w:t>
      </w:r>
    </w:p>
    <w:p>
      <w:pPr>
        <w:spacing w:after="120" w:before="120"/>
        <w:ind w:left="360" w:right="360"/>
      </w:pPr>
      <w:r>
        <w:rPr>
          <w:rFonts w:ascii="Calibri" w:cs="Calibri" w:eastAsia="Calibri" w:hAnsi="Calibri"/>
          <w:b/>
          <w:bCs/>
          <w:color w:val="CC0000"/>
        </w:rPr>
        <w:t xml:space="preserve">IMPORTANT: </w:t>
      </w:r>
      <w:r>
        <w:rPr>
          <w:i/>
          <w:iCs/>
          <w:color w:val="333333"/>
        </w:rPr>
        <w:t xml:space="preserve">Compliance with splinting instructions is essential. Removing a mallet finger splint too early can restart the healing process from the beginning.</w:t>
      </w:r>
    </w:p>
    <w:p>
      <w:pPr>
        <w:pStyle w:val="Heading2"/>
      </w:pPr>
      <w:r>
        <w:t xml:space="preserve">When to Call Your Doctor</w:t>
      </w:r>
    </w:p>
    <w:p>
      <w:pPr>
        <w:pStyle w:val="ListParagraph"/>
        <w:numPr>
          <w:ilvl w:val="0"/>
          <w:numId w:val="2"/>
        </w:numPr>
        <w:spacing w:after="60"/>
      </w:pPr>
      <w:r>
        <w:t xml:space="preserve">Inability to straighten the finger after injury</w:t>
      </w:r>
    </w:p>
    <w:p>
      <w:pPr>
        <w:pStyle w:val="ListParagraph"/>
        <w:numPr>
          <w:ilvl w:val="0"/>
          <w:numId w:val="2"/>
        </w:numPr>
        <w:spacing w:after="60"/>
      </w:pPr>
      <w:r>
        <w:t xml:space="preserve">Increasing pain, swelling, or signs of infection after repair</w:t>
      </w:r>
    </w:p>
    <w:p>
      <w:pPr>
        <w:pStyle w:val="ListParagraph"/>
        <w:numPr>
          <w:ilvl w:val="0"/>
          <w:numId w:val="2"/>
        </w:numPr>
        <w:spacing w:after="60"/>
      </w:pPr>
      <w:r>
        <w:t xml:space="preserve">Loss of motion that was previously achieved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i/>
        <w:iCs/>
        <w:color w:val="999999"/>
        <w:sz w:val="16"/>
        <w:szCs w:val="16"/>
      </w:rPr>
      <w:t xml:space="preserve">This document is for educational purposes only and does not replace personalized medical advice.</w:t>
    </w:r>
  </w:p>
  <w:p>
    <w:pPr>
      <w:jc w:val="center"/>
    </w:pPr>
    <w:r>
      <w:rPr>
        <w:rFonts w:ascii="Calibri" w:cs="Calibri" w:eastAsia="Calibri" w:hAnsi="Calibri"/>
        <w:color w:val="1a3a5c"/>
        <w:sz w:val="16"/>
        <w:szCs w:val="16"/>
      </w:rPr>
      <w:t xml:space="preserve">jamesoostenmd.com</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Calibri" w:cs="Calibri" w:eastAsia="Calibri" w:hAnsi="Calibri"/>
        <w:b/>
        <w:bCs/>
        <w:color w:val="1a3a5c"/>
        <w:sz w:val="18"/>
        <w:szCs w:val="18"/>
      </w:rPr>
      <w:t xml:space="preserve">James D. Oosten, MD</w:t>
    </w:r>
    <w:r>
      <w:rPr>
        <w:rFonts w:ascii="Calibri" w:cs="Calibri" w:eastAsia="Calibri" w:hAnsi="Calibri"/>
        <w:color w:val="888888"/>
        <w:sz w:val="18"/>
        <w:szCs w:val="18"/>
      </w:rPr>
      <w:t xml:space="preserve">  |  Upper Extremity Orthopedic Surgery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a3a5c"/>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a5a8c"/>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d8e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2026-03-31T15:44:28.026Z</dcterms:created>
  <dcterms:modified xsi:type="dcterms:W3CDTF">2026-03-31T15:44:28.026Z</dcterms:modified>
</cp:coreProperties>
</file>

<file path=docProps/custom.xml><?xml version="1.0" encoding="utf-8"?>
<Properties xmlns="http://schemas.openxmlformats.org/officeDocument/2006/custom-properties" xmlns:vt="http://schemas.openxmlformats.org/officeDocument/2006/docPropsVTypes"/>
</file>