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Shoulder Arthritis &amp; Shoulder Replacement</w:t>
      </w:r>
    </w:p>
    <w:p>
      <w:pPr>
        <w:pStyle w:val="Heading2"/>
      </w:pPr>
      <w:r>
        <w:t xml:space="preserve">What Is Shoulder Arthritis?</w:t>
      </w:r>
    </w:p>
    <w:p>
      <w:pPr>
        <w:spacing w:after="80"/>
      </w:pPr>
      <w:r>
        <w:t xml:space="preserve">Shoulder arthritis is the loss of smooth cartilage surfaces within the shoulder joint (glenohumeral joint). This can result from aging (osteoarthritis), prior injury (post-traumatic), inflammatory conditions (rheumatoid arthritis), or rotator cuff failure (cuff tear arthropathy).</w:t>
      </w:r>
    </w:p>
    <w:p>
      <w:pPr>
        <w:pStyle w:val="Heading2"/>
      </w:pPr>
      <w:r>
        <w:t xml:space="preserve">Symptoms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Deep aching pain in the shoulder, often worse with activity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Stiffness and loss of range of motion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Grinding or catching sensation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Night pain that disrupts sleep</w:t>
      </w:r>
    </w:p>
    <w:p>
      <w:pPr>
        <w:pStyle w:val="Heading2"/>
      </w:pPr>
      <w:r>
        <w:t xml:space="preserve">Non-Surgical Treatment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Activity modification, physical therapy, NSAIDs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Corticosteroid injection for temporary relief</w:t>
      </w:r>
    </w:p>
    <w:p>
      <w:pPr>
        <w:pStyle w:val="Heading2"/>
      </w:pPr>
      <w:r>
        <w:t xml:space="preserve">Shoulder Replacement Options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Anatomic total shoulder: </w:t>
      </w:r>
      <w:r>
        <w:t xml:space="preserve">Replaces ball and socket with metal and plastic components. Best for intact rotator cuff.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Reverse total shoulder: </w:t>
      </w:r>
      <w:r>
        <w:t xml:space="preserve">Switches the ball and socket configuration. Used when the rotator cuff is deficient.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Hemiarthroplasty: </w:t>
      </w:r>
      <w:r>
        <w:t xml:space="preserve">Replaces only the ball (humeral head). Used in select fracture or arthritis cases.</w:t>
      </w:r>
    </w:p>
    <w:p>
      <w:pPr>
        <w:pStyle w:val="Heading2"/>
      </w:pPr>
      <w:r>
        <w:t xml:space="preserve">Recovery</w:t>
      </w:r>
    </w:p>
    <w:p>
      <w:pPr>
        <w:spacing w:after="80"/>
      </w:pPr>
      <w:r>
        <w:t xml:space="preserve">Sling for 4-6 weeks. Therapy for 3-6 months. Most patients achieve significant pain relief and improved function. MMI at 9-12 months.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2026-03-31T16:27:27.326Z</dcterms:created>
  <dcterms:modified xsi:type="dcterms:W3CDTF">2026-03-31T16:27:27.326Z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