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Shoulder Instability &amp; Labral Tears</w:t>
      </w:r>
    </w:p>
    <w:p>
      <w:pPr>
        <w:pStyle w:val="Heading2"/>
      </w:pPr>
      <w:r>
        <w:t xml:space="preserve">What Is Shoulder Instability?</w:t>
      </w:r>
    </w:p>
    <w:p>
      <w:pPr>
        <w:spacing w:after="80"/>
      </w:pPr>
      <w:r>
        <w:t xml:space="preserve">Shoulder instability occurs when the structures that surround the shoulder joint (labrum, ligaments, and capsule) are damaged, allowing the humeral head to move partially (subluxation) or completely (dislocation) out of the socket.</w:t>
      </w:r>
    </w:p>
    <w:p>
      <w:pPr>
        <w:pStyle w:val="Heading2"/>
      </w:pPr>
      <w:r>
        <w:t xml:space="preserve">Types</w:t>
      </w:r>
    </w:p>
    <w:p>
      <w:pPr>
        <w:pStyle w:val="ListParagraph"/>
        <w:numPr>
          <w:ilvl w:val="0"/>
          <w:numId w:val="2"/>
        </w:numPr>
        <w:spacing w:after="40"/>
      </w:pPr>
      <w:r>
        <w:rPr>
          <w:b/>
          <w:bCs/>
        </w:rPr>
        <w:t xml:space="preserve">Traumatic: </w:t>
      </w:r>
      <w:r>
        <w:t xml:space="preserve">Caused by a specific injury (fall, collision). Often results in a Bankart lesion (torn labrum and ligaments).</w:t>
      </w:r>
    </w:p>
    <w:p>
      <w:pPr>
        <w:pStyle w:val="ListParagraph"/>
        <w:numPr>
          <w:ilvl w:val="0"/>
          <w:numId w:val="2"/>
        </w:numPr>
        <w:spacing w:after="40"/>
      </w:pPr>
      <w:r>
        <w:rPr>
          <w:b/>
          <w:bCs/>
        </w:rPr>
        <w:t xml:space="preserve">Atraumatic / Multidirectional: </w:t>
      </w:r>
      <w:r>
        <w:t xml:space="preserve">Caused by general looseness of the shoulder capsule, often in patients with naturally flexible joints.</w:t>
      </w:r>
    </w:p>
    <w:p>
      <w:pPr>
        <w:pStyle w:val="Heading2"/>
      </w:pPr>
      <w:r>
        <w:t xml:space="preserve">Symptoms</w:t>
      </w:r>
    </w:p>
    <w:p>
      <w:pPr>
        <w:pStyle w:val="ListParagraph"/>
        <w:numPr>
          <w:ilvl w:val="0"/>
          <w:numId w:val="2"/>
        </w:numPr>
        <w:spacing w:after="40"/>
      </w:pPr>
      <w:r>
        <w:t xml:space="preserve">Sensation of the shoulder slipping or "giving way"</w:t>
      </w:r>
    </w:p>
    <w:p>
      <w:pPr>
        <w:pStyle w:val="ListParagraph"/>
        <w:numPr>
          <w:ilvl w:val="0"/>
          <w:numId w:val="2"/>
        </w:numPr>
        <w:spacing w:after="40"/>
      </w:pPr>
      <w:r>
        <w:t xml:space="preserve">Pain with overhead activities or reaching behind</w:t>
      </w:r>
    </w:p>
    <w:p>
      <w:pPr>
        <w:pStyle w:val="ListParagraph"/>
        <w:numPr>
          <w:ilvl w:val="0"/>
          <w:numId w:val="2"/>
        </w:numPr>
        <w:spacing w:after="40"/>
      </w:pPr>
      <w:r>
        <w:t xml:space="preserve">History of shoulder dislocation(s)</w:t>
      </w:r>
    </w:p>
    <w:p>
      <w:pPr>
        <w:pStyle w:val="ListParagraph"/>
        <w:numPr>
          <w:ilvl w:val="0"/>
          <w:numId w:val="2"/>
        </w:numPr>
        <w:spacing w:after="40"/>
      </w:pPr>
      <w:r>
        <w:t xml:space="preserve">Apprehension with certain arm positions</w:t>
      </w:r>
    </w:p>
    <w:p>
      <w:pPr>
        <w:pStyle w:val="Heading2"/>
      </w:pPr>
      <w:r>
        <w:t xml:space="preserve">Surgical Options</w:t>
      </w:r>
    </w:p>
    <w:p>
      <w:pPr>
        <w:pStyle w:val="ListParagraph"/>
        <w:numPr>
          <w:ilvl w:val="0"/>
          <w:numId w:val="2"/>
        </w:numPr>
        <w:spacing w:after="40"/>
      </w:pPr>
      <w:r>
        <w:rPr>
          <w:b/>
          <w:bCs/>
        </w:rPr>
        <w:t xml:space="preserve">Arthroscopic Bankart repair: </w:t>
      </w:r>
      <w:r>
        <w:t xml:space="preserve">Reattaching the torn labrum and tightening the capsule</w:t>
      </w:r>
    </w:p>
    <w:p>
      <w:pPr>
        <w:pStyle w:val="ListParagraph"/>
        <w:numPr>
          <w:ilvl w:val="0"/>
          <w:numId w:val="2"/>
        </w:numPr>
        <w:spacing w:after="40"/>
      </w:pPr>
      <w:r>
        <w:rPr>
          <w:b/>
          <w:bCs/>
        </w:rPr>
        <w:t xml:space="preserve">Latarjet procedure: </w:t>
      </w:r>
      <w:r>
        <w:t xml:space="preserve">Bone block transfer for recurrent instability with bone loss</w:t>
      </w:r>
    </w:p>
    <w:p>
      <w:pPr>
        <w:pStyle w:val="ListParagraph"/>
        <w:numPr>
          <w:ilvl w:val="0"/>
          <w:numId w:val="2"/>
        </w:numPr>
        <w:spacing w:after="40"/>
      </w:pPr>
      <w:r>
        <w:rPr>
          <w:b/>
          <w:bCs/>
        </w:rPr>
        <w:t xml:space="preserve">Posterior stabilization: </w:t>
      </w:r>
      <w:r>
        <w:t xml:space="preserve">For posterior instability patterns</w:t>
      </w:r>
    </w:p>
    <w:p>
      <w:pPr>
        <w:pStyle w:val="Heading2"/>
      </w:pPr>
      <w:r>
        <w:t xml:space="preserve">Recovery</w:t>
      </w:r>
    </w:p>
    <w:p>
      <w:pPr>
        <w:spacing w:after="80"/>
      </w:pPr>
      <w:r>
        <w:t xml:space="preserve">Sling for 4-6 weeks. Therapy for 4-6 months. Return to contact sports at 6-9 months.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i/>
        <w:iCs/>
        <w:color w:val="999999"/>
        <w:sz w:val="16"/>
        <w:szCs w:val="16"/>
      </w:rPr>
      <w:t xml:space="preserve">This document is for educational purposes only and does not replace personalized medical advice.</w:t>
    </w:r>
  </w:p>
  <w:p>
    <w:pPr>
      <w:jc w:val="center"/>
    </w:pPr>
    <w:r>
      <w:rPr>
        <w:rFonts w:ascii="Calibri" w:cs="Calibri" w:eastAsia="Calibri" w:hAnsi="Calibri"/>
        <w:color w:val="1a3a5c"/>
        <w:sz w:val="16"/>
        <w:szCs w:val="16"/>
      </w:rPr>
      <w:t xml:space="preserve">jamesoostenmd.com</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Calibri" w:cs="Calibri" w:eastAsia="Calibri" w:hAnsi="Calibri"/>
        <w:b/>
        <w:bCs/>
        <w:color w:val="1a3a5c"/>
        <w:sz w:val="18"/>
        <w:szCs w:val="18"/>
      </w:rPr>
      <w:t xml:space="preserve">James D. Oosten, MD</w:t>
    </w:r>
    <w:r>
      <w:rPr>
        <w:rFonts w:ascii="Calibri" w:cs="Calibri" w:eastAsia="Calibri" w:hAnsi="Calibri"/>
        <w:color w:val="888888"/>
        <w:sz w:val="18"/>
        <w:szCs w:val="18"/>
      </w:rPr>
      <w:t xml:space="preserve">  |  Upper Extremity Orthopedic Surgery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a5a8c"/>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2026-03-31T16:27:27.307Z</dcterms:created>
  <dcterms:modified xsi:type="dcterms:W3CDTF">2026-03-31T16:27:27.307Z</dcterms:modified>
</cp:coreProperties>
</file>

<file path=docProps/custom.xml><?xml version="1.0" encoding="utf-8"?>
<Properties xmlns="http://schemas.openxmlformats.org/officeDocument/2006/custom-properties" xmlns:vt="http://schemas.openxmlformats.org/officeDocument/2006/docPropsVTypes"/>
</file>