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Wrist Fracture Rehabilitation Protocol</w:t>
      </w:r>
    </w:p>
    <w:p>
      <w:pPr>
        <w:pStyle w:val="Heading2"/>
      </w:pPr>
      <w:r>
        <w:t xml:space="preserve">Overview</w:t>
      </w:r>
    </w:p>
    <w:p>
      <w:pPr>
        <w:spacing w:after="120"/>
      </w:pPr>
      <w:r>
        <w:t xml:space="preserve">This protocol provides general guidelines for rehabilitation after a distal radius (wrist) fracture treated with casting or surgical fixation (ORIF). Your surgeon will modify this timeline based on your specific fracture and healing progress.</w:t>
      </w:r>
    </w:p>
    <w:p>
      <w:pPr>
        <w:pStyle w:val="Heading2"/>
      </w:pPr>
      <w:r>
        <w:t xml:space="preserve">Phase 1: Protection (Weeks 0-2)</w:t>
      </w:r>
    </w:p>
    <w:p>
      <w:pPr>
        <w:spacing w:after="120"/>
      </w:pPr>
      <w:r>
        <w:rPr>
          <w:b/>
          <w:bCs/>
        </w:rPr>
        <w:t xml:space="preserve">Goals: Protect the fracture, control swelling, maintain finger motion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Elevate the hand above heart level frequently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range of motion: fingers, thumb, elbow, and shoulder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Gentle finger tendon gliding exercises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wrist motion unless specifically cleared</w:t>
      </w:r>
    </w:p>
    <w:p>
      <w:pPr>
        <w:pStyle w:val="Heading2"/>
      </w:pPr>
      <w:r>
        <w:t xml:space="preserve">Phase 2: Early Motion (Weeks 2-6)</w:t>
      </w:r>
    </w:p>
    <w:p>
      <w:pPr>
        <w:spacing w:after="120"/>
      </w:pPr>
      <w:r>
        <w:rPr>
          <w:b/>
          <w:bCs/>
        </w:rPr>
        <w:t xml:space="preserve">Goals: Begin gentle wrist motion, continue swelling control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Transition to removable splint (if surgical fixation)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wrist flexion/extension and radial/ulnar deviation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Forearm rotation (supination/pronation)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Grip strengthening with therapy putty (light resistance)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Continue finger range of motion exercises</w:t>
      </w:r>
    </w:p>
    <w:p>
      <w:pPr>
        <w:pStyle w:val="Heading2"/>
      </w:pPr>
      <w:r>
        <w:t xml:space="preserve">Phase 3: Strengthening (Weeks 6-12)</w:t>
      </w:r>
    </w:p>
    <w:p>
      <w:pPr>
        <w:spacing w:after="120"/>
      </w:pPr>
      <w:r>
        <w:rPr>
          <w:b/>
          <w:bCs/>
        </w:rPr>
        <w:t xml:space="preserve">Goals: Restore strength and functional use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grip and pinch strengthening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Weight-bearing as tolerated (push-ups, weight lifting)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Functional activities (cooking, opening jars, carrying groceries)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Stretching for any residual stiffness</w:t>
      </w:r>
    </w:p>
    <w:p>
      <w:pPr>
        <w:pStyle w:val="Heading2"/>
      </w:pPr>
      <w:r>
        <w:t xml:space="preserve">Phase 4: Return to Full Activity (3-6 Months)</w:t>
      </w:r>
    </w:p>
    <w:p>
      <w:pPr>
        <w:spacing w:after="120"/>
      </w:pPr>
      <w:r>
        <w:rPr>
          <w:b/>
          <w:bCs/>
        </w:rPr>
        <w:t xml:space="preserve">Goals: Full return to work, sports, and activities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Sport-specific or work-specific training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activities (contact sports, heavy lifting) typically allowed at 3-6 months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Maximum strength and motion improvement may continue for up to 1 year</w:t>
      </w:r>
    </w:p>
    <w:p>
      <w:pPr>
        <w:pStyle w:val="Heading2"/>
      </w:pPr>
      <w:r>
        <w:t xml:space="preserve">Expected Outcomes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Most patients recover 80-90% of their pre-injury wrist motion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Grip strength typically returns to near-normal by 6 months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Some wrist stiffness or weather-related achiness is common and usually mild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6"/>
        <w:szCs w:val="16"/>
      </w:rPr>
      <w:t xml:space="preserve">This document is for educational purposes only and does not replace personalized medical advice.</w:t>
    </w:r>
  </w:p>
  <w:p>
    <w:pPr>
      <w:jc w:val="center"/>
    </w:pPr>
    <w:r>
      <w:rPr>
        <w:rFonts w:ascii="Calibri" w:cs="Calibri" w:eastAsia="Calibri" w:hAnsi="Calibri"/>
        <w:color w:val="1a3a5c"/>
        <w:sz w:val="16"/>
        <w:szCs w:val="16"/>
      </w:rPr>
      <w:t xml:space="preserve">jamesoostenmd.com</w:t>
    </w:r>
    <w:r>
      <w:rPr>
        <w:rFonts w:ascii="Calibri" w:cs="Calibri" w:eastAsia="Calibri" w:hAnsi="Calibri"/>
        <w:color w:val="999999"/>
        <w:sz w:val="16"/>
        <w:szCs w:val="16"/>
      </w:rPr>
      <w:t xml:space="preserve">  |  Page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b/>
        <w:bCs/>
        <w:color w:val="1a3a5c"/>
        <w:sz w:val="18"/>
        <w:szCs w:val="18"/>
      </w:rPr>
      <w:t xml:space="preserve">James D. Oosten, MD</w:t>
    </w:r>
    <w:r>
      <w:rPr>
        <w:rFonts w:ascii="Calibri" w:cs="Calibri" w:eastAsia="Calibri" w:hAnsi="Calibri"/>
        <w:color w:val="888888"/>
        <w:sz w:val="18"/>
        <w:szCs w:val="18"/>
      </w:rPr>
      <w:t xml:space="preserve">  |  Upper Extremity Orthopedic Surgery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a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a5a8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d8eb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2026-03-31T15:44:28.461Z</dcterms:created>
  <dcterms:modified xsi:type="dcterms:W3CDTF">2026-03-31T15:44:28.461Z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