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Calibri" w:cs="Calibri" w:eastAsia="Calibri" w:hAnsi="Calibri"/>
          <w:b/>
          <w:bCs/>
          <w:color w:val="1a3a5c"/>
          <w:sz w:val="28"/>
          <w:szCs w:val="28"/>
        </w:rPr>
        <w:t xml:space="preserve">INTERVAL THROWING PROGRAM — PHASE I (FLAT GROUND)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Name: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Diagnosis: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Date of Surgery:</w:t>
      </w:r>
      <w:r>
        <w:t xml:space="preserve">	____________________________________________</w:t>
      </w:r>
    </w:p>
    <w:p>
      <w:pPr>
        <w:spacing w:after="120"/>
      </w:pPr>
      <w:r>
        <w:rPr>
          <w:b/>
          <w:bCs/>
        </w:rPr>
        <w:t xml:space="preserve">Frequency: </w:t>
      </w:r>
      <w:r>
        <w:t xml:space="preserve">2-3 times / week     </w:t>
      </w:r>
      <w:r>
        <w:rPr>
          <w:b/>
          <w:bCs/>
        </w:rPr>
        <w:t xml:space="preserve">Duration: </w:t>
      </w:r>
      <w:r>
        <w:t xml:space="preserve">1  2  3  4  5  6  Weeks</w:t>
      </w:r>
    </w:p>
    <w:p>
      <w:pPr>
        <w:spacing w:after="80"/>
      </w:pPr>
      <w:r>
        <w:rPr>
          <w:b/>
          <w:bCs/>
        </w:rPr>
        <w:t xml:space="preserve">Prerequisites: Full pain-free ROM, 90%+ strength compared to uninjured arm.</w:t>
      </w:r>
    </w:p>
    <w:p>
      <w:pPr>
        <w:spacing w:after="80"/>
      </w:pPr>
      <w:r>
        <w:t xml:space="preserve">Throw every other day. Stop if pain occurs. Ice after each session.</w:t>
      </w:r>
    </w:p>
    <w:p>
      <w:pPr>
        <w:spacing w:after="80"/>
      </w:pPr>
      <w:r>
        <w:rPr>
          <w:b/>
          <w:bCs/>
        </w:rPr>
        <w:t xml:space="preserve">Step 1 (Sessions 1-3):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45 feet, 25 throws at 50% effort. Rest 5 minutes. Repeat.</w:t>
      </w:r>
    </w:p>
    <w:p>
      <w:pPr>
        <w:spacing w:after="80"/>
      </w:pPr>
      <w:r>
        <w:rPr>
          <w:b/>
          <w:bCs/>
        </w:rPr>
        <w:t xml:space="preserve">Step 2 (Sessions 4-6):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60 feet, 25 throws at 50% effort. Rest 5 min. 25 throws at 75%.</w:t>
      </w:r>
    </w:p>
    <w:p>
      <w:pPr>
        <w:spacing w:after="80"/>
      </w:pPr>
      <w:r>
        <w:rPr>
          <w:b/>
          <w:bCs/>
        </w:rPr>
        <w:t xml:space="preserve">Step 3 (Sessions 7-9):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90 feet, 25 throws at 50%. Rest 5 min. 25 throws at 75%.</w:t>
      </w:r>
    </w:p>
    <w:p>
      <w:pPr>
        <w:spacing w:after="80"/>
      </w:pPr>
      <w:r>
        <w:rPr>
          <w:b/>
          <w:bCs/>
        </w:rPr>
        <w:t xml:space="preserve">Step 4 (Sessions 10-12):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120 feet, 25 throws at 50%. Rest. 25 throws at 75%.</w:t>
      </w:r>
    </w:p>
    <w:p>
      <w:pPr>
        <w:spacing w:after="80"/>
      </w:pPr>
      <w:r>
        <w:rPr>
          <w:b/>
          <w:bCs/>
        </w:rPr>
        <w:t xml:space="preserve">Step 5 (Sessions 13-15):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150 feet, 25 throws at 50%. Rest. 25 throws at 75%.</w:t>
      </w:r>
    </w:p>
    <w:p>
      <w:pPr>
        <w:spacing w:after="80"/>
      </w:pPr>
      <w:r>
        <w:rPr>
          <w:b/>
          <w:bCs/>
        </w:rPr>
        <w:t xml:space="preserve">Step 6 (Sessions 16-18):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180 feet, 25 throws at 75%. Rest. 25 throws at 100%.</w:t>
      </w:r>
    </w:p>
    <w:p>
      <w:pPr>
        <w:spacing w:after="80"/>
      </w:pPr>
      <w:r>
        <w:t xml:space="preserve">If all steps completed pain-free, advance to Phase II (Mound Program).</w:t>
      </w:r>
    </w:p>
    <w:p>
      <w:pPr>
        <w:spacing w:before="200"/>
      </w:pPr>
    </w:p>
    <w:p>
      <w:pPr>
        <w:spacing w:after="40"/>
      </w:pPr>
      <w:r>
        <w:rPr>
          <w:b/>
          <w:bCs/>
        </w:rPr>
        <w:t xml:space="preserve">Modalities: </w:t>
      </w:r>
      <w:r>
        <w:t xml:space="preserve">Per therapist, including electrical stimulation, ultrasound, heat before, ice after.</w:t>
      </w:r>
    </w:p>
    <w:p>
      <w:pPr>
        <w:tabs>
          <w:tab w:val="right" w:pos="9026"/>
        </w:tabs>
        <w:spacing w:before="200"/>
      </w:pPr>
      <w:r>
        <w:rPr>
          <w:sz w:val="18"/>
          <w:szCs w:val="18"/>
        </w:rPr>
        <w:t xml:space="preserve">Signature ________________________________</w:t>
      </w:r>
      <w:r>
        <w:rPr>
          <w:sz w:val="18"/>
          <w:szCs w:val="18"/>
        </w:rPr>
        <w:t xml:space="preserve">	Date: ______________</w:t>
      </w:r>
    </w:p>
    <w:sectPr>
      <w:headerReference w:type="default" r:id="rId7"/>
      <w:footerReference w:type="default" r:id="rId8"/>
      <w:pgSz w:w="12240" w:h="15840" w:orient="portrait"/>
      <w:pgMar w:top="120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Calibri" w:cs="Calibri" w:eastAsia="Calibri" w:hAnsi="Calibri"/>
        <w:i/>
        <w:iCs/>
        <w:color w:val="999999"/>
        <w:sz w:val="14"/>
        <w:szCs w:val="14"/>
      </w:rPr>
      <w:t xml:space="preserve">This protocol is for patients under the care of Dr. Oosten. It supplements, but does not replace, individualized guidance.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right"/>
    </w:pPr>
    <w:r>
      <w:rPr>
        <w:rFonts w:ascii="Calibri" w:cs="Calibri" w:eastAsia="Calibri" w:hAnsi="Calibri"/>
        <w:b/>
        <w:bCs/>
        <w:color w:val="1a3a5c"/>
        <w:sz w:val="20"/>
        <w:szCs w:val="20"/>
      </w:rPr>
      <w:t xml:space="preserve">James D. Oosten, MD</w:t>
    </w:r>
  </w:p>
  <w:p>
    <w:pPr>
      <w:spacing w:after="40"/>
      <w:jc w:val="right"/>
    </w:pPr>
    <w:r>
      <w:rPr>
        <w:rFonts w:ascii="Calibri" w:cs="Calibri" w:eastAsia="Calibri" w:hAnsi="Calibri"/>
        <w:color w:val="666666"/>
        <w:sz w:val="16"/>
        <w:szCs w:val="16"/>
      </w:rPr>
      <w:t xml:space="preserve">Orthopedic Surgery — Upper Extremity, Hand &amp; Shoulder</w:t>
    </w:r>
  </w:p>
  <w:p>
    <w:pPr>
      <w:pBdr>
        <w:bottom w:val="single" w:color="1a3a5c" w:sz="4" w:space="4"/>
      </w:pBdr>
      <w:jc w:val="right"/>
    </w:pPr>
    <w:r>
      <w:rPr>
        <w:rFonts w:ascii="Calibri" w:cs="Calibri" w:eastAsia="Calibri" w:hAnsi="Calibri"/>
        <w:color w:val="3d8eb9"/>
        <w:sz w:val="16"/>
        <w:szCs w:val="16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90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00"/>
      <w:outlineLvl w:val="0"/>
    </w:pPr>
    <w:rPr>
      <w:rFonts w:ascii="Calibri" w:cs="Calibri" w:eastAsia="Calibri" w:hAnsi="Calibri"/>
      <w:b/>
      <w:bCs/>
      <w:color w:val="1a3a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60"/>
      <w:outlineLvl w:val="1"/>
    </w:pPr>
    <w:rPr>
      <w:rFonts w:ascii="Calibri" w:cs="Calibri" w:eastAsia="Calibri" w:hAnsi="Calibri"/>
      <w:b/>
      <w:bCs/>
      <w:color w:val="2a5a8c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40" w:before="120"/>
      <w:outlineLvl w:val="2"/>
    </w:pPr>
    <w:rPr>
      <w:rFonts w:ascii="Calibri" w:cs="Calibri" w:eastAsia="Calibri" w:hAnsi="Calibri"/>
      <w:b/>
      <w:bCs/>
      <w:color w:val="3d8eb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2026-03-31T16:27:26.891Z</dcterms:created>
  <dcterms:modified xsi:type="dcterms:W3CDTF">2026-03-31T16:27:26.891Z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