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Clavicle (Collarbone) Fractures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 Clavicle Fracture? The clavicle (collarbone) connects the shoulder blade to the breastbone.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Clavicle fractures are common injuries, often resulting from falls, sports collisions, or direct blows to the shoulder.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Types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Midshaft (most common â€” 80%): Fracture of the middle third of the clavicle Distal (lateral): Fracture near the AC joint â€” may involve ligament injury Medial: Fracture near the breastbone â€” least common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Non-Surgical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Many clavicle fractures heal well with a sling for 4-6 weeks, followed by progressive range of motion and strengthening.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Non-displaced and minimally displaced midshaft fractures are often treated non-operatively.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(ORIF) Displaced, shortened, or comminuted fractures may benefit from surgical fixation with a plate and screws.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restores bone length and alignment and may allow earlier return to activity.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Recovery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Sling for 2-6 weeks depending on treatment Motion exercises begin at 2-4 weeks Full healing at 6-12 weeks Contact sports at 3-4 months after confirmed healing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