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rFonts w:ascii="Calibri" w:hAnsi="Calibri"/>
          <w:b/>
          <w:i w:val="0"/>
          <w:sz w:val="24"/>
        </w:rPr>
        <w:t>De Quervain's Tenosynovitis</w:t>
      </w:r>
    </w:p>
    <w:p>
      <w:pPr>
        <w:spacing w:before="0" w:after="100"/>
        <w:jc w:val="center"/>
      </w:pPr>
      <w:r>
        <w:rPr>
          <w:rFonts w:ascii="Calibri" w:hAnsi="Calibri"/>
          <w:b w:val="0"/>
          <w:i/>
          <w:sz w:val="16"/>
        </w:rPr>
        <w:t>James D. Oosten, MD  ·  Orthopedic Surgery — Shoulder, Elbow &amp; Hand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What Is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De Quervain's? De Quervain's tenosynovitis is inflammation of the tendons on the thumb side of the wrist (the first dorsal compartment).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These tendons (abductor pollicis longus and extensor pollicis brevis) help move the thumb away from the hand.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When the sheath around them thickens, the tendons cannot glide smoothly, causing pain.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Symptoms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Pain on the thumb side of the wrist, especially with gripping, twisting, or thumb motion Swelling near the base of the thumb A "sticking" or snapping sensation when moving the thumb Pain with the Finkelstein test (bending the thumb across the palm and tilting the wrist)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Causes &amp; Risk Factors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Repetitive thumb and wrist motions (texting, gaming, lifting a baby) New parents ("new mom's thumb" or "de Quervain's of parenthood") Hormonal changes (pregnancy, postpartum) Rheumatoid arthritis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Non-Surgical Treatment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Thumb spica splint: Immobilizes the thumb and wrist to rest the inflamed tendons Anti-inflammatory medications: NSAIDs for pain and inflammation Corticosteroid injection: Highly effective.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Studies show 60-80% resolution with a single injection.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Activity modification: Avoid repetitive thumb pinching and wrist deviation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Surgical Treatment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If injections and splinting fail, a surgical release of the first dorsal compartment is performed.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This outpatient procedure involves a small incision over the thumb side of the wrist to open the tight tendon sheath.</w:t>
      </w:r>
    </w:p>
    <w:p>
      <w:pPr>
        <w:spacing w:before="100" w:after="20"/>
      </w:pPr>
      <w:r>
        <w:rPr>
          <w:rFonts w:ascii="Calibri" w:hAnsi="Calibri"/>
          <w:b/>
          <w:i w:val="0"/>
          <w:sz w:val="20"/>
        </w:rPr>
        <w:t>Recovery After Surgery</w:t>
      </w:r>
    </w:p>
    <w:p>
      <w:pPr>
        <w:spacing w:before="0" w:after="40"/>
      </w:pPr>
      <w:r>
        <w:rPr>
          <w:rFonts w:ascii="Calibri" w:hAnsi="Calibri"/>
          <w:b w:val="0"/>
          <w:i w:val="0"/>
          <w:sz w:val="18"/>
        </w:rPr>
        <w:t>Suture removal at 10-14 days Gentle thumb and wrist motion begins immediately Most patients return to full activities within 4-6 weeks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