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Scaphoid Fracture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 the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Scaphoid? The scaphoid is a small, cashew-shaped bone on the thumb side of the wrist.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It is the most commonly fractured carpal (wrist) bone, typically from a fall onto an outstretched hand.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Why Are Scaphoid Fractures Important? The scaphoid has a limited blood supply, which means certain fractures (especially those at the waist or proximal pole) are at risk for avascular necrosis (AVN) â€” loss of blood supply leading to bone death.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Early diagnosis and proper treatment are critical to prevent complications.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Symptoms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Pain in the anatomical snuffbox (the hollow space at the base of the thumb) Wrist pain with gripping or thumb motion Swelling may be minimal initially IMPORTANT: Scaphoid fractures are often missed on initial X-rays.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If a scaphoid fracture is suspected clinically, you may be placed in a splint and have repeat imaging (X-ray, CT, or MRI) in 1-2 weeks.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Treatment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Non-Displaced Fractures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 thumb spica cast for 8-12 weeks, with regular X-rays to monitor healing.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Displaced or Unstable Fractures Surgical fixation with a headless compression screw provides rigid fixation and may allow earlier motion and faster return to activity.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Recovery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Scaphoid fractures can take 8-16 weeks to heal, depending on location Proximal pole fractures take the longest due to limited blood supply Hand therapy begins after immobilization is complete Return to sports typically at 3-4 months, depending on healing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