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Wrist Fracture Rehabilitation Protocol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Overview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This protocol provides general guidelines for rehabilitation after a distal radius (wrist) fracture treated with casting or surgical fixation (ORIF).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Your surgeon will modify this timeline based on your specific fracture and healing progress.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Phase 1: Protection (Weeks 0-2) Goals: Protect the fracture, control swelling, maintain finger motion Elevate the hand above heart level frequently Active range of motion: fingers, thumb, elbow, and shoulder Gentle finger tendon gliding exercises No wrist motion unless specifically cleared Phase 2: Early Motion (Weeks 2-6) Goals: Begin gentle wrist motion, continue swelling control Transition to removable splint (if surgical fixation) Active wrist flexion/extension and radial/ulnar deviation Forearm rotation (supination/pronation) Grip strengthening with therapy putty (light resistance) Continue finger range of motion exercises Phase 3: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Strengthening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(Weeks 6-12) Goals: Restore strength and functional use Progressive grip and pinch strengthening Weight-bearing as tolerated (push-ups, weight lifting) Functional activities (cooking, opening jars, carrying groceries)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Stretching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for any residual stiffness Phase 4: Return to Full Activity (3-6 Months) Goals: Full return to work, sports, and activities Sport-specific or work-specific training Impact activities (contact sports, heavy lifting) typically allowed at 3-6 months Maximum strength and motion improvement may continue for up to 1 year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Expected Outcomes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Most patients recover 80-90% of their pre-injury wrist motion Grip strength typically returns to near-normal by 6 months Some wrist stiffness or weather-related achiness is common and usually mild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