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Acromioclavicular (AC) Joint Injuries</w:t>
      </w:r>
    </w:p>
    <w:p>
      <w:pPr>
        <w:spacing w:before="40" w:after="20" w:line="220" w:lineRule="exact"/>
        <w:jc w:val="left"/>
      </w:pPr>
      <w:r>
        <w:rPr>
          <w:b/>
          <w:i w:val="0"/>
          <w:sz w:val="20"/>
        </w:rPr>
        <w:t>What Is the AC Joint?</w:t>
      </w:r>
    </w:p>
    <w:p>
      <w:pPr>
        <w:spacing w:before="0" w:after="40" w:line="198" w:lineRule="exact"/>
        <w:jc w:val="left"/>
      </w:pPr>
      <w:r>
        <w:rPr>
          <w:b w:val="0"/>
          <w:i w:val="0"/>
          <w:sz w:val="18"/>
        </w:rPr>
        <w:t>The acromioclavicular (AC) joint is where the collarbone (clavicle) meets the shoulder blade (acromion) at the top of the shoulder. AC joint injuries ("separated shoulder") are common in contact sports and falls. Classification Type I-II: Sprain of AC ligaments. Treated non-operatively with sling and rehab. Type III: Complete AC and coracoclavicular (CC) ligament disruption. May be treated operatively or non-operatively depending on patient factors. Type IV-VI: Severe displacement. Usually requires surgical reconstruction. Treatment Low-grade injuries heal well with conservative management. High-grade injuries may require surgical reconstruction of the CC ligaments, using a graft to restore stability.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