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Carpal Tunnel Syndrome</w:t>
      </w:r>
    </w:p>
    <w:p>
      <w:pPr>
        <w:spacing w:before="40" w:after="20" w:line="220" w:lineRule="exact"/>
        <w:jc w:val="left"/>
      </w:pPr>
      <w:r>
        <w:rPr>
          <w:b/>
          <w:i w:val="0"/>
          <w:sz w:val="20"/>
        </w:rPr>
        <w:t>What Is Carpal Tunnel Syndrome?</w:t>
      </w:r>
    </w:p>
    <w:p>
      <w:pPr>
        <w:spacing w:before="0" w:after="40" w:line="198" w:lineRule="exact"/>
        <w:jc w:val="left"/>
      </w:pPr>
      <w:r>
        <w:rPr>
          <w:b w:val="0"/>
          <w:i w:val="0"/>
          <w:sz w:val="18"/>
        </w:rPr>
        <w:t>Carpal tunnel syndrome (CTS) is the most common nerve compression condition of the upper extremity. It occurs when the median nerve is compressed as it passes through the carpal tunnel ”” a narrow passageway in the wrist formed by bones and a thick ligament (the transverse carpal ligament). Symptoms Numbness and tingling in the thumb, index, middle, and ring fingers Symptoms often worse at night or when holding objects (driving, reading, phone use) Aching pain in the wrist, hand, or forearm Weakness and clumsiness with fine motor tasks (buttoning, gripping) In advanced cases: persistent numbness, muscle wasting at the base of the thumb Causes &amp; Risk Factors Repetitive hand and wrist motions Pregnancy and hormonal changes Diabetes, thyroid disorders, and rheumatoid arthritis Wrist fractures or dislocations that narrow the carpal tunnel More common in women and adults over 40 Diagnosis Physical examination including Tinel, Phalen, and compression tests Nerve conduction studies / electromyography (NCS/EMG) to confirm and grade severity Non-</w:t>
      </w:r>
    </w:p>
    <w:p>
      <w:pPr>
        <w:spacing w:before="40" w:after="20" w:line="220" w:lineRule="exact"/>
        <w:jc w:val="left"/>
      </w:pPr>
      <w:r>
        <w:rPr>
          <w:b/>
          <w:i w:val="0"/>
          <w:sz w:val="20"/>
        </w:rPr>
        <w:t>Surgical Treatment Wrist splinting:</w:t>
      </w:r>
    </w:p>
    <w:p>
      <w:pPr>
        <w:spacing w:before="0" w:after="40" w:line="198" w:lineRule="exact"/>
        <w:jc w:val="left"/>
      </w:pPr>
      <w:r>
        <w:rPr>
          <w:b w:val="0"/>
          <w:i w:val="0"/>
          <w:sz w:val="18"/>
        </w:rPr>
        <w:t>A neutral-position wrist splint worn at night keeps the carpal tunnel open and reduces symptoms Activity modification: Avoiding prolonged wrist flexion/extension and repetitive gripping Anti-inflammatory medications: NSAIDs may provide short-term relief Corticosteroid injection: An injection into the carpal tunnel can reduce swelling and provide temporary relief, also useful as a diagnostic tool</w:t>
      </w:r>
    </w:p>
    <w:p>
      <w:pPr>
        <w:spacing w:before="40" w:after="20" w:line="220" w:lineRule="exact"/>
        <w:jc w:val="left"/>
      </w:pPr>
      <w:r>
        <w:rPr>
          <w:b/>
          <w:i w:val="0"/>
          <w:sz w:val="20"/>
        </w:rPr>
        <w:t>Surgical Treatment:</w:t>
      </w:r>
    </w:p>
    <w:p>
      <w:pPr>
        <w:spacing w:before="0" w:after="40" w:line="198" w:lineRule="exact"/>
        <w:jc w:val="left"/>
      </w:pPr>
      <w:r>
        <w:rPr>
          <w:b w:val="0"/>
          <w:i w:val="0"/>
          <w:sz w:val="18"/>
        </w:rPr>
        <w:t>Carpal Tunnel Release When non-surgical treatment fails or nerve compression is severe, carpal tunnel release surgery is recommended. The transverse carpal ligament is divided to relieve pressure on the median nerve. Procedure details: Performed as an outpatient procedure under local anesthesia (often WALANT ”” Wide Awake Local Anesthesia No Tourniquet) Small incision in the palm (~2-3 cm) Procedure takes approximately 10-15 minutes Immediate finger motion is encouraged</w:t>
      </w:r>
    </w:p>
    <w:p>
      <w:pPr>
        <w:spacing w:before="40" w:after="20" w:line="220" w:lineRule="exact"/>
        <w:jc w:val="left"/>
      </w:pPr>
      <w:r>
        <w:rPr>
          <w:b/>
          <w:i w:val="0"/>
          <w:sz w:val="20"/>
        </w:rPr>
        <w:t>Recovery After Surgery Week 1:</w:t>
      </w:r>
    </w:p>
    <w:p>
      <w:pPr>
        <w:spacing w:before="0" w:after="40" w:line="198" w:lineRule="exact"/>
        <w:jc w:val="left"/>
      </w:pPr>
      <w:r>
        <w:rPr>
          <w:b w:val="0"/>
          <w:i w:val="0"/>
          <w:sz w:val="18"/>
        </w:rPr>
        <w:t>Keep hand elevated. Move fingers frequently. Light activities permitted. Weeks 2-4: Suture removal. Gradual return to daily activities. Grip and pinch strengthening begins. Weeks 4-12: Progressive return to full activities. Pillar pain (soreness at the palm incision) is common and gradually resolves. Numbness and tingling typically improve quickly after surgery. In severe or longstanding cases, nerve recovery may take several months, and some residual numbness may persist. When to Call Your Doctor Signs of infection at the incision site Worsening numbness or new weakness after surgery Persistent symptoms beyond 3 months post-surgery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