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Clavicle (Collarbone) Fractures</w:t>
      </w:r>
    </w:p>
    <w:p>
      <w:pPr>
        <w:spacing w:before="40" w:after="20" w:line="220" w:lineRule="exact"/>
        <w:jc w:val="left"/>
      </w:pPr>
      <w:r>
        <w:rPr>
          <w:b/>
          <w:i w:val="0"/>
          <w:sz w:val="20"/>
        </w:rPr>
        <w:t>What Is a Clavicle Fracture?</w:t>
      </w:r>
    </w:p>
    <w:p>
      <w:pPr>
        <w:spacing w:before="0" w:after="40" w:line="198" w:lineRule="exact"/>
        <w:jc w:val="left"/>
      </w:pPr>
      <w:r>
        <w:rPr>
          <w:b w:val="0"/>
          <w:i w:val="0"/>
          <w:sz w:val="18"/>
        </w:rPr>
        <w:t>The clavicle (collarbone) connects the shoulder blade to the breastbone. Clavicle fractures are common injuries, often resulting from falls, sports collisions, or direct blows to the shoulder. Types Midshaft (most common ”” 80%): Fracture of the middle third of the clavicle Distal (lateral): Fracture near the AC joint ”” may involve ligament injury Medial: Fracture near the breastbone ”” least common Non-Surgical Treatment Many clavicle fractures heal well with a sling for 4-6 weeks, followed by progressive range of motion and strengthening. Non-displaced and minimally displaced midshaft fractures are often treated non-operatively. Surgical Treatment (ORIF) Displaced, shortened, or comminuted fractures may benefit from surgical fixation with a plate and screws. This restores bone length and alignment and may allow earlier return to activity. Recovery Sling for 2-6 weeks depending on treatment Motion exercises begin at 2-4 weeks Full healing at 6-12 weeks Contact sports at 3-4 months after confirmed healing</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