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CARPAL TUNNEL RELEASE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Soft dressing. Active finger motion immediately and frequently. Elevate hand above heart level. Ice for 15-20 minutes as needed.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Suture removal at 10-14 days. Light daily activities permitted. Gentle wrist ROM: flexion/extension, radial/ulnar deviation. Grip strengthening with therapy putty.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return to full activities. Scar massage and desensitization. Pillar pain (palm soreness) is common ”” gradually resolves over 2-3 months.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activities. Grip strength continues to improve. Numbness/tingling improvement may continue for 3-6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