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 w:line="220"/>
        <w:jc w:val="center"/>
      </w:pPr>
      <w:r>
        <w:rPr>
          <w:rFonts w:ascii="Calibri" w:cs="Calibri" w:eastAsia="Calibri" w:hAnsi="Calibri"/>
          <w:b/>
          <w:bCs/>
          <w:color w:val="1a3a5c"/>
          <w:sz w:val="24"/>
          <w:szCs w:val="24"/>
        </w:rPr>
        <w:t xml:space="preserve">PIP Fracture-dislocation With Dynamic External Fixator (digit Widget) Protocol</w:t>
      </w:r>
    </w:p>
    <w:p>
      <w:pPr>
        <w:spacing w:after="20" w:before="40" w:line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Name: </w:t>
      </w:r>
      <w:r>
        <w:rPr>
          <w:rFonts w:ascii="Calibri" w:cs="Calibri" w:eastAsia="Calibri" w:hAnsi="Calibri"/>
          <w:sz w:val="18"/>
          <w:szCs w:val="18"/>
        </w:rPr>
        <w:t xml:space="preserve">_______________________________ 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Date of Surgery: </w:t>
      </w:r>
      <w:r>
        <w:rPr>
          <w:rFonts w:ascii="Calibri" w:cs="Calibri" w:eastAsia="Calibri" w:hAnsi="Calibri"/>
          <w:sz w:val="18"/>
          <w:szCs w:val="18"/>
        </w:rPr>
        <w:t xml:space="preserve">_______________________________</w:t>
      </w:r>
    </w:p>
    <w:p>
      <w:pPr>
        <w:spacing w:after="40" w:before="0" w:line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Diagnosis: </w:t>
      </w:r>
      <w:r>
        <w:rPr>
          <w:rFonts w:ascii="Calibri" w:cs="Calibri" w:eastAsia="Calibri" w:hAnsi="Calibri"/>
          <w:sz w:val="18"/>
          <w:szCs w:val="18"/>
        </w:rPr>
        <w:t xml:space="preserve">________________________________________________________________________</w:t>
      </w:r>
    </w:p>
    <w:p>
      <w:pPr>
        <w:pBdr>
          <w:bottom w:val="single" w:color="dddddd" w:sz="4" w:space="4"/>
        </w:pBdr>
        <w:spacing w:after="60" w:before="0" w:line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Frequency: </w:t>
      </w:r>
      <w:r>
        <w:rPr>
          <w:rFonts w:ascii="Calibri" w:cs="Calibri" w:eastAsia="Calibri" w:hAnsi="Calibri"/>
          <w:sz w:val="18"/>
          <w:szCs w:val="18"/>
        </w:rPr>
        <w:t xml:space="preserve">2-3 times / week</w:t>
      </w:r>
      <w:r>
        <w:rPr>
          <w:rFonts w:ascii="Calibri" w:cs="Calibri" w:eastAsia="Calibri" w:hAnsi="Calibri"/>
          <w:sz w:val="18"/>
          <w:szCs w:val="18"/>
        </w:rPr>
        <w:t xml:space="preserve">   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Duration: </w:t>
      </w:r>
      <w:r>
        <w:rPr>
          <w:rFonts w:ascii="Calibri" w:cs="Calibri" w:eastAsia="Calibri" w:hAnsi="Calibri"/>
          <w:sz w:val="18"/>
          <w:szCs w:val="18"/>
        </w:rPr>
        <w:t xml:space="preserve">1 2 3 4 5 6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The dynamic external fixator maintains concentric joint reduction via ligamentotaxis while allowing immediate active PIP motion.</w:t>
      </w:r>
    </w:p>
    <w:p>
      <w:pPr>
        <w:spacing w:after="20" w:before="60" w:line="200"/>
      </w:pPr>
      <w:r>
        <w:rPr>
          <w:rFonts w:ascii="Calibri" w:cs="Calibri" w:eastAsia="Calibri" w:hAnsi="Calibri"/>
          <w:b/>
          <w:bCs/>
          <w:color w:val="2a5a8c"/>
          <w:sz w:val="18"/>
          <w:szCs w:val="18"/>
        </w:rPr>
        <w:t xml:space="preserve">Days 0-3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Elevate hand.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Begin active PIP flexion/extension within the fixator immediately.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Active DIP and MCP ROM.</w:t>
      </w:r>
    </w:p>
    <w:p>
      <w:pPr>
        <w:spacing w:after="20" w:before="60" w:line="200"/>
      </w:pPr>
      <w:r>
        <w:rPr>
          <w:rFonts w:ascii="Calibri" w:cs="Calibri" w:eastAsia="Calibri" w:hAnsi="Calibri"/>
          <w:b/>
          <w:bCs/>
          <w:color w:val="2a5a8c"/>
          <w:sz w:val="18"/>
          <w:szCs w:val="18"/>
        </w:rPr>
        <w:t xml:space="preserve">Weeks 0-6 (Phase I): Motion with Fixator In Place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Active PIP flexion/extension 4-6 times daily, 10-15 reps per session.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Buddy taping not applicable while fixator in place.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Pin site care: clean with saline or soap and water daily.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Edema management.</w:t>
      </w:r>
    </w:p>
    <w:p>
      <w:pPr>
        <w:spacing w:after="20" w:before="60" w:line="200"/>
      </w:pPr>
      <w:r>
        <w:rPr>
          <w:rFonts w:ascii="Calibri" w:cs="Calibri" w:eastAsia="Calibri" w:hAnsi="Calibri"/>
          <w:b/>
          <w:bCs/>
          <w:color w:val="2a5a8c"/>
          <w:sz w:val="18"/>
          <w:szCs w:val="18"/>
        </w:rPr>
        <w:t xml:space="preserve">Weeks 6-8 (Phase II): Fixator Removal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Fixator removal at 6-8 weeks (per surgeon and radiographic assessment).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Continue active PIP ROM.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Buddy taping for support.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Begin gentle PROM.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Blocking exercises.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Additional Rehabilitation Protocols — Final Section</w:t>
      </w:r>
    </w:p>
    <w:p>
      <w:pPr>
        <w:spacing w:after="20" w:before="60" w:line="200"/>
      </w:pPr>
      <w:r>
        <w:rPr>
          <w:rFonts w:ascii="Calibri" w:cs="Calibri" w:eastAsia="Calibri" w:hAnsi="Calibri"/>
          <w:b/>
          <w:bCs/>
          <w:color w:val="2a5a8c"/>
          <w:sz w:val="18"/>
          <w:szCs w:val="18"/>
        </w:rPr>
        <w:t xml:space="preserve">Weeks 8-12 (Phase III): Strengthening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Progressive grip and pinch strengthening.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PROM and dynamic splinting for residual stiffness.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Functional activities.</w:t>
      </w:r>
    </w:p>
    <w:p>
      <w:pPr>
        <w:spacing w:after="20" w:before="60" w:line="200"/>
      </w:pPr>
      <w:r>
        <w:rPr>
          <w:rFonts w:ascii="Calibri" w:cs="Calibri" w:eastAsia="Calibri" w:hAnsi="Calibri"/>
          <w:b/>
          <w:bCs/>
          <w:color w:val="2a5a8c"/>
          <w:sz w:val="18"/>
          <w:szCs w:val="18"/>
        </w:rPr>
        <w:t xml:space="preserve">Weeks 12+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Full activity.</w:t>
      </w:r>
    </w:p>
    <w:p>
      <w:pPr>
        <w:spacing w:after="20" w:before="60" w:line="200"/>
      </w:pPr>
      <w:r>
        <w:rPr>
          <w:rFonts w:ascii="Calibri" w:cs="Calibri" w:eastAsia="Calibri" w:hAnsi="Calibri"/>
          <w:b/>
          <w:bCs/>
          <w:color w:val="2a5a8c"/>
          <w:sz w:val="18"/>
          <w:szCs w:val="18"/>
        </w:rPr>
        <w:t xml:space="preserve">Return to sport at 3-4 months.</w:t>
      </w:r>
    </w:p>
    <w:p>
      <w:pPr>
        <w:spacing w:after="20" w:before="40" w:line="200"/>
      </w:pPr>
      <w:r>
        <w:rPr>
          <w:rFonts w:ascii="Calibri" w:cs="Calibri" w:eastAsia="Calibri" w:hAnsi="Calibri"/>
          <w:i/>
          <w:iCs/>
          <w:color w:val="444444"/>
          <w:sz w:val="16"/>
          <w:szCs w:val="16"/>
        </w:rPr>
        <w:t xml:space="preserve">Note: Some residual PIP stiffness and mild flexion contracture (5-15°) is common after pilon-type fracture-dislocations. Aggressive PROM should be avoided in the first 8 weeks to prevent heterotopic ossification.</w:t>
      </w:r>
    </w:p>
    <w:p>
      <w:pPr>
        <w:spacing w:after="20" w:before="40" w:line="200"/>
      </w:pPr>
      <w:r>
        <w:rPr>
          <w:rFonts w:ascii="Calibri" w:cs="Calibri" w:eastAsia="Calibri" w:hAnsi="Calibri"/>
          <w:i/>
          <w:iCs/>
          <w:color w:val="444444"/>
          <w:sz w:val="16"/>
          <w:szCs w:val="16"/>
        </w:rPr>
        <w:t xml:space="preserve">Modalities: Per therapist, including electrical stimulation, ultrasound, heat before, ice after.</w:t>
      </w:r>
    </w:p>
    <w:p>
      <w:pPr>
        <w:spacing w:after="20" w:before="40" w:line="180"/>
      </w:pPr>
      <w:r>
        <w:rPr>
          <w:rFonts w:ascii="Calibri" w:cs="Calibri" w:eastAsia="Calibri" w:hAnsi="Calibri"/>
          <w:i/>
          <w:iCs/>
          <w:color w:val="666666"/>
          <w:sz w:val="12"/>
          <w:szCs w:val="12"/>
        </w:rPr>
        <w:t xml:space="preserve">Primary Reference: Slade JF, Baxamusa TH, Wolfe SW. External fixation of proximal interphalangeal joint fracture-dislocations. Atlas Hand Clin, 2000; Ruland RT, Hogan CJ, Cannon DL, Slade JF. Use of dynamic distraction external fixation for unstable fracture-dislocations of the proximal interphalangeal joint. J Hand Surg Am, 2008.</w:t>
      </w:r>
    </w:p>
    <w:p>
      <w:pPr>
        <w:spacing w:after="0" w:before="60" w:line="200"/>
        <w:jc w:val="left"/>
      </w:pPr>
      <w:r>
        <w:rPr>
          <w:rFonts w:ascii="Calibri" w:cs="Calibri" w:eastAsia="Calibri" w:hAnsi="Calibri"/>
          <w:sz w:val="16"/>
          <w:szCs w:val="16"/>
        </w:rPr>
        <w:t xml:space="preserve">Therapist Signature: </w:t>
      </w:r>
      <w:r>
        <w:rPr>
          <w:rFonts w:ascii="Calibri" w:cs="Calibri" w:eastAsia="Calibri" w:hAnsi="Calibri"/>
          <w:sz w:val="16"/>
          <w:szCs w:val="16"/>
        </w:rPr>
        <w:t xml:space="preserve">_______________________  </w:t>
      </w:r>
      <w:r>
        <w:rPr>
          <w:rFonts w:ascii="Calibri" w:cs="Calibri" w:eastAsia="Calibri" w:hAnsi="Calibri"/>
          <w:sz w:val="16"/>
          <w:szCs w:val="16"/>
        </w:rPr>
        <w:t xml:space="preserve">Date: </w:t>
      </w:r>
      <w:r>
        <w:rPr>
          <w:rFonts w:ascii="Calibri" w:cs="Calibri" w:eastAsia="Calibri" w:hAnsi="Calibri"/>
          <w:sz w:val="16"/>
          <w:szCs w:val="16"/>
        </w:rPr>
        <w:t xml:space="preserve">__________</w:t>
      </w:r>
    </w:p>
    <w:sectPr>
      <w:headerReference w:type="default" r:id="rId7"/>
      <w:footerReference w:type="default" r:id="rId8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i/>
        <w:iCs/>
        <w:color w:val="999999"/>
        <w:sz w:val="12"/>
        <w:szCs w:val="12"/>
      </w:rPr>
      <w:t xml:space="preserve">For educational purposes. Modify per clinical judgment and patient-specific factors.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3a5c" w:sz="4" w:space="2"/>
      </w:pBdr>
      <w:spacing w:after="20"/>
      <w:jc w:val="right"/>
    </w:pPr>
    <w:r>
      <w:rPr>
        <w:rFonts w:ascii="Calibri" w:cs="Calibri" w:eastAsia="Calibri" w:hAnsi="Calibri"/>
        <w:b/>
        <w:bCs/>
        <w:color w:val="1a3a5c"/>
        <w:sz w:val="16"/>
        <w:szCs w:val="16"/>
      </w:rPr>
      <w:t xml:space="preserve">James D. Oosten, MD</w:t>
    </w:r>
    <w:r>
      <w:rPr>
        <w:rFonts w:ascii="Calibri" w:cs="Calibri" w:eastAsia="Calibri" w:hAnsi="Calibri"/>
        <w:color w:val="666666"/>
        <w:sz w:val="12"/>
        <w:szCs w:val="12"/>
      </w:rPr>
      <w:t xml:space="preserve">   —   Upper Extremity Orthopedic Surgery   —   </w:t>
    </w:r>
    <w:r>
      <w:rPr>
        <w:rFonts w:ascii="Calibri" w:cs="Calibri" w:eastAsia="Calibri" w:hAnsi="Calibri"/>
        <w:color w:val="3d8eb9"/>
        <w:sz w:val="12"/>
        <w:szCs w:val="12"/>
      </w:rPr>
      <w:t xml:space="preserve">jamesoostenmd.com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PIP FRACTURE-DISLOCATION WITH DYNAMIC EXTERNAL FIXATOR (DIGIT WIDGET) PROTOCOL</dc:title>
  <dc:creator>James D. Oosten, MD</dc:creator>
  <dc:description>Rehabilitation protocol</dc:description>
  <cp:lastModifiedBy>Un-named</cp:lastModifiedBy>
  <cp:revision>1</cp:revision>
  <dcterms:created xsi:type="dcterms:W3CDTF">2026-04-21T01:34:49.405Z</dcterms:created>
  <dcterms:modified xsi:type="dcterms:W3CDTF">2026-04-21T01:34:49.405Z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