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Tendon Transfer For Low Median Nerve Palsy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Common transfers: EIP→APB (Burkhalter opponensplasty), FDS ring→APB (Bunnell or Royle-Thompson), ADM→APB (Huber transfer).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0-4 (Phase I): Immobilization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Thumb spica splint: thumb in full palmar abduction and opposition, wrist in neutral.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thumb adduction or extension.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4-6 (Phase II): Protected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splint between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active thumb opposition and palmar abduction.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Tendon re-education: patient practices opposition to each fingertip.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6-8 (Phase III): Active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Wean from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pinch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8-12 (Phase IV):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pinch and opposition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activities: buttoning, writing, key turning.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full activity at 4-6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Sammer DM, Chung KC. Plast Reconstr Surg, 2009; Seiler JG et al. J Am Acad Orthop Surg, 2013.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TENDON TRANSFER FOR LOW MEDIAN NERVE PALSY PROTOCOL</dc:title>
  <dc:creator>James D. Oosten, MD</dc:creator>
  <dc:description>Rehabilitation protocol</dc:description>
  <cp:lastModifiedBy>Un-named</cp:lastModifiedBy>
  <cp:revision>1</cp:revision>
  <dcterms:created xsi:type="dcterms:W3CDTF">2026-04-21T01:34:49.134Z</dcterms:created>
  <dcterms:modified xsi:type="dcterms:W3CDTF">2026-04-21T01:34:49.134Z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