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 w:line="220"/>
        <w:jc w:val="center"/>
      </w:pPr>
      <w:r>
        <w:rPr>
          <w:rFonts w:ascii="Calibri" w:cs="Calibri" w:eastAsia="Calibri" w:hAnsi="Calibri"/>
          <w:b/>
          <w:bCs/>
          <w:color w:val="1a3a5c"/>
          <w:sz w:val="24"/>
          <w:szCs w:val="24"/>
        </w:rPr>
        <w:t xml:space="preserve">Thumb CMC Arthroplasty (LRTI) Rehabilitation Protocol</w:t>
      </w:r>
    </w:p>
    <w:p>
      <w:pPr>
        <w:spacing w:after="20" w:before="40" w:line="20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Name: </w:t>
      </w:r>
      <w:r>
        <w:rPr>
          <w:rFonts w:ascii="Calibri" w:cs="Calibri" w:eastAsia="Calibri" w:hAnsi="Calibri"/>
          <w:sz w:val="18"/>
          <w:szCs w:val="18"/>
        </w:rPr>
        <w:t xml:space="preserve">_______________________________  </w:t>
      </w:r>
      <w:r>
        <w:rPr>
          <w:rFonts w:ascii="Calibri" w:cs="Calibri" w:eastAsia="Calibri" w:hAnsi="Calibri"/>
          <w:b/>
          <w:bCs/>
          <w:sz w:val="18"/>
          <w:szCs w:val="18"/>
        </w:rPr>
        <w:t xml:space="preserve">Date of Surgery: </w:t>
      </w:r>
      <w:r>
        <w:rPr>
          <w:rFonts w:ascii="Calibri" w:cs="Calibri" w:eastAsia="Calibri" w:hAnsi="Calibri"/>
          <w:sz w:val="18"/>
          <w:szCs w:val="18"/>
        </w:rPr>
        <w:t xml:space="preserve">_______________________________</w:t>
      </w:r>
    </w:p>
    <w:p>
      <w:pPr>
        <w:spacing w:after="40" w:before="0" w:line="20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Diagnosis: </w:t>
      </w:r>
      <w:r>
        <w:rPr>
          <w:rFonts w:ascii="Calibri" w:cs="Calibri" w:eastAsia="Calibri" w:hAnsi="Calibri"/>
          <w:sz w:val="18"/>
          <w:szCs w:val="18"/>
        </w:rPr>
        <w:t xml:space="preserve">________________________________________________________________________</w:t>
      </w:r>
    </w:p>
    <w:p>
      <w:pPr>
        <w:pBdr>
          <w:bottom w:val="single" w:color="dddddd" w:sz="4" w:space="4"/>
        </w:pBdr>
        <w:spacing w:after="60" w:before="0" w:line="20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Frequency: </w:t>
      </w:r>
      <w:r>
        <w:rPr>
          <w:rFonts w:ascii="Calibri" w:cs="Calibri" w:eastAsia="Calibri" w:hAnsi="Calibri"/>
          <w:sz w:val="18"/>
          <w:szCs w:val="18"/>
        </w:rPr>
        <w:t xml:space="preserve">2-3 times / week</w:t>
      </w:r>
      <w:r>
        <w:rPr>
          <w:rFonts w:ascii="Calibri" w:cs="Calibri" w:eastAsia="Calibri" w:hAnsi="Calibri"/>
          <w:sz w:val="18"/>
          <w:szCs w:val="18"/>
        </w:rPr>
        <w:t xml:space="preserve">    </w:t>
      </w:r>
      <w:r>
        <w:rPr>
          <w:rFonts w:ascii="Calibri" w:cs="Calibri" w:eastAsia="Calibri" w:hAnsi="Calibri"/>
          <w:b/>
          <w:bCs/>
          <w:sz w:val="18"/>
          <w:szCs w:val="18"/>
        </w:rPr>
        <w:t xml:space="preserve">Duration: </w:t>
      </w:r>
      <w:r>
        <w:rPr>
          <w:rFonts w:ascii="Calibri" w:cs="Calibri" w:eastAsia="Calibri" w:hAnsi="Calibri"/>
          <w:sz w:val="18"/>
          <w:szCs w:val="18"/>
        </w:rPr>
        <w:t xml:space="preserve">1 2 3 4 5 6</w:t>
      </w:r>
    </w:p>
    <w:p>
      <w:pPr>
        <w:spacing w:after="20" w:before="60" w:line="200"/>
      </w:pPr>
      <w:r>
        <w:rPr>
          <w:rFonts w:ascii="Calibri" w:cs="Calibri" w:eastAsia="Calibri" w:hAnsi="Calibri"/>
          <w:b/>
          <w:bCs/>
          <w:color w:val="2a5a8c"/>
          <w:sz w:val="18"/>
          <w:szCs w:val="18"/>
        </w:rPr>
        <w:t xml:space="preserve">Weeks 0-6 (Phase I): Immobilization</w:t>
      </w:r>
    </w:p>
    <w:p>
      <w:pPr>
        <w:spacing w:after="10" w:before="0" w:line="200"/>
        <w:ind w:left="180" w:hanging="140"/>
      </w:pPr>
      <w:r>
        <w:rPr>
          <w:rFonts w:ascii="Calibri" w:cs="Calibri" w:eastAsia="Calibri" w:hAnsi="Calibri"/>
          <w:sz w:val="18"/>
          <w:szCs w:val="18"/>
        </w:rPr>
        <w:t xml:space="preserve">•  </w:t>
      </w:r>
      <w:r>
        <w:rPr>
          <w:rFonts w:ascii="Calibri" w:cs="Calibri" w:eastAsia="Calibri" w:hAnsi="Calibri"/>
          <w:sz w:val="18"/>
          <w:szCs w:val="18"/>
        </w:rPr>
        <w:t xml:space="preserve">Thumb spica cast or splint.</w:t>
      </w:r>
    </w:p>
    <w:p>
      <w:pPr>
        <w:spacing w:after="10" w:before="0" w:line="200"/>
        <w:ind w:left="180" w:hanging="140"/>
      </w:pPr>
      <w:r>
        <w:rPr>
          <w:rFonts w:ascii="Calibri" w:cs="Calibri" w:eastAsia="Calibri" w:hAnsi="Calibri"/>
          <w:sz w:val="18"/>
          <w:szCs w:val="18"/>
        </w:rPr>
        <w:t xml:space="preserve">•  </w:t>
      </w:r>
      <w:r>
        <w:rPr>
          <w:rFonts w:ascii="Calibri" w:cs="Calibri" w:eastAsia="Calibri" w:hAnsi="Calibri"/>
          <w:sz w:val="18"/>
          <w:szCs w:val="18"/>
        </w:rPr>
        <w:t xml:space="preserve">Finger motion (index-small) immediately.</w:t>
      </w:r>
    </w:p>
    <w:p>
      <w:pPr>
        <w:spacing w:after="20" w:before="60" w:line="200"/>
      </w:pPr>
      <w:r>
        <w:rPr>
          <w:rFonts w:ascii="Calibri" w:cs="Calibri" w:eastAsia="Calibri" w:hAnsi="Calibri"/>
          <w:b/>
          <w:bCs/>
          <w:color w:val="2a5a8c"/>
          <w:sz w:val="18"/>
          <w:szCs w:val="18"/>
        </w:rPr>
        <w:t xml:space="preserve">Weeks 6-10 (Phase II): Early Motion</w:t>
      </w:r>
    </w:p>
    <w:p>
      <w:pPr>
        <w:spacing w:after="10" w:before="0" w:line="200"/>
        <w:ind w:left="180" w:hanging="140"/>
      </w:pPr>
      <w:r>
        <w:rPr>
          <w:rFonts w:ascii="Calibri" w:cs="Calibri" w:eastAsia="Calibri" w:hAnsi="Calibri"/>
          <w:sz w:val="18"/>
          <w:szCs w:val="18"/>
        </w:rPr>
        <w:t xml:space="preserve">•  </w:t>
      </w:r>
      <w:r>
        <w:rPr>
          <w:rFonts w:ascii="Calibri" w:cs="Calibri" w:eastAsia="Calibri" w:hAnsi="Calibri"/>
          <w:sz w:val="18"/>
          <w:szCs w:val="18"/>
        </w:rPr>
        <w:t xml:space="preserve">Transition to hand-based thumb spica splint.</w:t>
      </w:r>
    </w:p>
    <w:p>
      <w:pPr>
        <w:spacing w:after="10" w:before="0" w:line="200"/>
        <w:ind w:left="180" w:hanging="140"/>
      </w:pPr>
      <w:r>
        <w:rPr>
          <w:rFonts w:ascii="Calibri" w:cs="Calibri" w:eastAsia="Calibri" w:hAnsi="Calibri"/>
          <w:sz w:val="18"/>
          <w:szCs w:val="18"/>
        </w:rPr>
        <w:t xml:space="preserve">•  </w:t>
      </w:r>
      <w:r>
        <w:rPr>
          <w:rFonts w:ascii="Calibri" w:cs="Calibri" w:eastAsia="Calibri" w:hAnsi="Calibri"/>
          <w:sz w:val="18"/>
          <w:szCs w:val="18"/>
        </w:rPr>
        <w:t xml:space="preserve">Begin gentle thumb ROM: opposition, flexion/extension, palmar abduction.</w:t>
      </w:r>
    </w:p>
    <w:p>
      <w:pPr>
        <w:spacing w:after="10" w:before="0" w:line="200"/>
        <w:ind w:left="180" w:hanging="140"/>
      </w:pPr>
      <w:r>
        <w:rPr>
          <w:rFonts w:ascii="Calibri" w:cs="Calibri" w:eastAsia="Calibri" w:hAnsi="Calibri"/>
          <w:sz w:val="18"/>
          <w:szCs w:val="18"/>
        </w:rPr>
        <w:t xml:space="preserve">•  </w:t>
      </w:r>
      <w:r>
        <w:rPr>
          <w:rFonts w:ascii="Calibri" w:cs="Calibri" w:eastAsia="Calibri" w:hAnsi="Calibri"/>
          <w:sz w:val="18"/>
          <w:szCs w:val="18"/>
        </w:rPr>
        <w:t xml:space="preserve">Light pinch activities.</w:t>
      </w:r>
    </w:p>
    <w:p>
      <w:pPr>
        <w:spacing w:after="20" w:before="60" w:line="200"/>
      </w:pPr>
      <w:r>
        <w:rPr>
          <w:rFonts w:ascii="Calibri" w:cs="Calibri" w:eastAsia="Calibri" w:hAnsi="Calibri"/>
          <w:b/>
          <w:bCs/>
          <w:color w:val="2a5a8c"/>
          <w:sz w:val="18"/>
          <w:szCs w:val="18"/>
        </w:rPr>
        <w:t xml:space="preserve">Weeks 10-16 (Phase III): Strengthening</w:t>
      </w:r>
    </w:p>
    <w:p>
      <w:pPr>
        <w:spacing w:after="10" w:before="0" w:line="200"/>
        <w:ind w:left="180" w:hanging="140"/>
      </w:pPr>
      <w:r>
        <w:rPr>
          <w:rFonts w:ascii="Calibri" w:cs="Calibri" w:eastAsia="Calibri" w:hAnsi="Calibri"/>
          <w:sz w:val="18"/>
          <w:szCs w:val="18"/>
        </w:rPr>
        <w:t xml:space="preserve">•  </w:t>
      </w:r>
      <w:r>
        <w:rPr>
          <w:rFonts w:ascii="Calibri" w:cs="Calibri" w:eastAsia="Calibri" w:hAnsi="Calibri"/>
          <w:sz w:val="18"/>
          <w:szCs w:val="18"/>
        </w:rPr>
        <w:t xml:space="preserve">Progressive pinch and grip strengthening with putty.</w:t>
      </w:r>
    </w:p>
    <w:p>
      <w:pPr>
        <w:spacing w:after="10" w:before="0" w:line="200"/>
        <w:ind w:left="180" w:hanging="140"/>
      </w:pPr>
      <w:r>
        <w:rPr>
          <w:rFonts w:ascii="Calibri" w:cs="Calibri" w:eastAsia="Calibri" w:hAnsi="Calibri"/>
          <w:sz w:val="18"/>
          <w:szCs w:val="18"/>
        </w:rPr>
        <w:t xml:space="preserve">•  </w:t>
      </w:r>
      <w:r>
        <w:rPr>
          <w:rFonts w:ascii="Calibri" w:cs="Calibri" w:eastAsia="Calibri" w:hAnsi="Calibri"/>
          <w:sz w:val="18"/>
          <w:szCs w:val="18"/>
        </w:rPr>
        <w:t xml:space="preserve">Functional activities.</w:t>
      </w:r>
    </w:p>
    <w:p>
      <w:pPr>
        <w:spacing w:after="10" w:before="0" w:line="200"/>
        <w:ind w:left="180" w:hanging="140"/>
      </w:pPr>
      <w:r>
        <w:rPr>
          <w:rFonts w:ascii="Calibri" w:cs="Calibri" w:eastAsia="Calibri" w:hAnsi="Calibri"/>
          <w:sz w:val="18"/>
          <w:szCs w:val="18"/>
        </w:rPr>
        <w:t xml:space="preserve">•  </w:t>
      </w:r>
      <w:r>
        <w:rPr>
          <w:rFonts w:ascii="Calibri" w:cs="Calibri" w:eastAsia="Calibri" w:hAnsi="Calibri"/>
          <w:sz w:val="18"/>
          <w:szCs w:val="18"/>
        </w:rPr>
        <w:t xml:space="preserve">Wear splint for heavy tasks.</w:t>
      </w:r>
    </w:p>
    <w:p>
      <w:pPr>
        <w:spacing w:after="20" w:before="60" w:line="200"/>
      </w:pPr>
      <w:r>
        <w:rPr>
          <w:rFonts w:ascii="Calibri" w:cs="Calibri" w:eastAsia="Calibri" w:hAnsi="Calibri"/>
          <w:b/>
          <w:bCs/>
          <w:color w:val="2a5a8c"/>
          <w:sz w:val="18"/>
          <w:szCs w:val="18"/>
        </w:rPr>
        <w:t xml:space="preserve">Weeks 16+ (Phase IV)</w:t>
      </w:r>
    </w:p>
    <w:p>
      <w:pPr>
        <w:spacing w:after="10" w:before="0" w:line="200"/>
        <w:ind w:left="180" w:hanging="140"/>
      </w:pPr>
      <w:r>
        <w:rPr>
          <w:rFonts w:ascii="Calibri" w:cs="Calibri" w:eastAsia="Calibri" w:hAnsi="Calibri"/>
          <w:sz w:val="18"/>
          <w:szCs w:val="18"/>
        </w:rPr>
        <w:t xml:space="preserve">•  </w:t>
      </w:r>
      <w:r>
        <w:rPr>
          <w:rFonts w:ascii="Calibri" w:cs="Calibri" w:eastAsia="Calibri" w:hAnsi="Calibri"/>
          <w:sz w:val="18"/>
          <w:szCs w:val="18"/>
        </w:rPr>
        <w:t xml:space="preserve">Discontinue splint.</w:t>
      </w:r>
    </w:p>
    <w:p>
      <w:pPr>
        <w:spacing w:after="10" w:before="0" w:line="200"/>
        <w:ind w:left="180" w:hanging="140"/>
      </w:pPr>
      <w:r>
        <w:rPr>
          <w:rFonts w:ascii="Calibri" w:cs="Calibri" w:eastAsia="Calibri" w:hAnsi="Calibri"/>
          <w:sz w:val="18"/>
          <w:szCs w:val="18"/>
        </w:rPr>
        <w:t xml:space="preserve">•  </w:t>
      </w:r>
      <w:r>
        <w:rPr>
          <w:rFonts w:ascii="Calibri" w:cs="Calibri" w:eastAsia="Calibri" w:hAnsi="Calibri"/>
          <w:sz w:val="18"/>
          <w:szCs w:val="18"/>
        </w:rPr>
        <w:t xml:space="preserve">Progressive strengthening.</w:t>
      </w:r>
    </w:p>
    <w:p>
      <w:pPr>
        <w:spacing w:after="10" w:before="0" w:line="200"/>
        <w:ind w:left="180" w:hanging="140"/>
      </w:pPr>
      <w:r>
        <w:rPr>
          <w:rFonts w:ascii="Calibri" w:cs="Calibri" w:eastAsia="Calibri" w:hAnsi="Calibri"/>
          <w:sz w:val="18"/>
          <w:szCs w:val="18"/>
        </w:rPr>
        <w:t xml:space="preserve">•  </w:t>
      </w:r>
      <w:r>
        <w:rPr>
          <w:rFonts w:ascii="Calibri" w:cs="Calibri" w:eastAsia="Calibri" w:hAnsi="Calibri"/>
          <w:sz w:val="18"/>
          <w:szCs w:val="18"/>
        </w:rPr>
        <w:t xml:space="preserve">Full recovery and max pinch strength at 6-12 months.</w:t>
      </w:r>
    </w:p>
    <w:p>
      <w:pPr>
        <w:spacing w:after="20" w:before="40" w:line="200"/>
      </w:pPr>
      <w:r>
        <w:rPr>
          <w:rFonts w:ascii="Calibri" w:cs="Calibri" w:eastAsia="Calibri" w:hAnsi="Calibri"/>
          <w:i/>
          <w:iCs/>
          <w:color w:val="444444"/>
          <w:sz w:val="16"/>
          <w:szCs w:val="16"/>
        </w:rPr>
        <w:t xml:space="preserve">Modalities: Per therapist, including electrical stimulation, ultrasound, heat before, ice after.</w:t>
      </w:r>
    </w:p>
    <w:p>
      <w:pPr>
        <w:spacing w:after="20" w:before="40" w:line="180"/>
      </w:pPr>
      <w:r>
        <w:rPr>
          <w:rFonts w:ascii="Calibri" w:cs="Calibri" w:eastAsia="Calibri" w:hAnsi="Calibri"/>
          <w:i/>
          <w:iCs/>
          <w:color w:val="666666"/>
          <w:sz w:val="12"/>
          <w:szCs w:val="12"/>
        </w:rPr>
        <w:t xml:space="preserve">Primary Reference: Wajon A, Ada L. No difference between two splint and exercise regimens for people with osteoarthritis of the thumb. Aust J Physiother, 2005; Vermeulen GM et al. Trapeziometacarpal arthrodesis or trapeziectomy with LRTI. JBJS Am, 2014.</w:t>
      </w:r>
    </w:p>
    <w:p>
      <w:pPr>
        <w:spacing w:after="0" w:before="60" w:line="200"/>
        <w:jc w:val="left"/>
      </w:pPr>
      <w:r>
        <w:rPr>
          <w:rFonts w:ascii="Calibri" w:cs="Calibri" w:eastAsia="Calibri" w:hAnsi="Calibri"/>
          <w:sz w:val="16"/>
          <w:szCs w:val="16"/>
        </w:rPr>
        <w:t xml:space="preserve">Therapist Signature: </w:t>
      </w:r>
      <w:r>
        <w:rPr>
          <w:rFonts w:ascii="Calibri" w:cs="Calibri" w:eastAsia="Calibri" w:hAnsi="Calibri"/>
          <w:sz w:val="16"/>
          <w:szCs w:val="16"/>
        </w:rPr>
        <w:t xml:space="preserve">_______________________  </w:t>
      </w:r>
      <w:r>
        <w:rPr>
          <w:rFonts w:ascii="Calibri" w:cs="Calibri" w:eastAsia="Calibri" w:hAnsi="Calibri"/>
          <w:sz w:val="16"/>
          <w:szCs w:val="16"/>
        </w:rPr>
        <w:t xml:space="preserve">Date: </w:t>
      </w:r>
      <w:r>
        <w:rPr>
          <w:rFonts w:ascii="Calibri" w:cs="Calibri" w:eastAsia="Calibri" w:hAnsi="Calibri"/>
          <w:sz w:val="16"/>
          <w:szCs w:val="16"/>
        </w:rPr>
        <w:t xml:space="preserve">__________</w:t>
      </w:r>
    </w:p>
    <w:sectPr>
      <w:headerReference w:type="default" r:id="rId7"/>
      <w:footerReference w:type="default" r:id="rId8"/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i/>
        <w:iCs/>
        <w:color w:val="999999"/>
        <w:sz w:val="12"/>
        <w:szCs w:val="12"/>
      </w:rPr>
      <w:t xml:space="preserve">For educational purposes. Modify per clinical judgment and patient-specific factors.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a3a5c" w:sz="4" w:space="2"/>
      </w:pBdr>
      <w:spacing w:after="20"/>
      <w:jc w:val="right"/>
    </w:pPr>
    <w:r>
      <w:rPr>
        <w:rFonts w:ascii="Calibri" w:cs="Calibri" w:eastAsia="Calibri" w:hAnsi="Calibri"/>
        <w:b/>
        <w:bCs/>
        <w:color w:val="1a3a5c"/>
        <w:sz w:val="16"/>
        <w:szCs w:val="16"/>
      </w:rPr>
      <w:t xml:space="preserve">James D. Oosten, MD</w:t>
    </w:r>
    <w:r>
      <w:rPr>
        <w:rFonts w:ascii="Calibri" w:cs="Calibri" w:eastAsia="Calibri" w:hAnsi="Calibri"/>
        <w:color w:val="666666"/>
        <w:sz w:val="12"/>
        <w:szCs w:val="12"/>
      </w:rPr>
      <w:t xml:space="preserve">   —   Upper Extremity Orthopedic Surgery   —   </w:t>
    </w:r>
    <w:r>
      <w:rPr>
        <w:rFonts w:ascii="Calibri" w:cs="Calibri" w:eastAsia="Calibri" w:hAnsi="Calibri"/>
        <w:color w:val="3d8eb9"/>
        <w:sz w:val="12"/>
        <w:szCs w:val="12"/>
      </w:rPr>
      <w:t xml:space="preserve">jamesoostenmd.com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THUMB CMC ARTHROPLASTY (LRTI) REHABILITATION PROTOCOL</dc:title>
  <dc:creator>James D. Oosten, MD</dc:creator>
  <dc:description>Rehabilitation protocol</dc:description>
  <cp:lastModifiedBy>Un-named</cp:lastModifiedBy>
  <cp:revision>1</cp:revision>
  <dcterms:created xsi:type="dcterms:W3CDTF">2026-04-21T01:34:48.482Z</dcterms:created>
  <dcterms:modified xsi:type="dcterms:W3CDTF">2026-04-21T01:34:48.482Z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