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Scaphoid Fracture</w:t>
      </w:r>
    </w:p>
    <w:p>
      <w:pPr>
        <w:spacing w:before="40" w:after="20" w:line="220" w:lineRule="exact"/>
        <w:jc w:val="left"/>
      </w:pPr>
      <w:r>
        <w:rPr>
          <w:b/>
          <w:i w:val="0"/>
          <w:sz w:val="20"/>
        </w:rPr>
        <w:t>What Is the Scaphoid?</w:t>
      </w:r>
    </w:p>
    <w:p>
      <w:pPr>
        <w:spacing w:before="0" w:after="40" w:line="198" w:lineRule="exact"/>
        <w:jc w:val="left"/>
      </w:pPr>
      <w:r>
        <w:rPr>
          <w:b w:val="0"/>
          <w:i w:val="0"/>
          <w:sz w:val="18"/>
        </w:rPr>
        <w:t>The scaphoid is a small, cashew-shaped bone on the thumb side of the wrist. It is the most commonly fractured carpal (wrist) bone, typically from a fall onto an outstretched hand. Why Are Scaphoid Fractures Important? The scaphoid has a limited blood supply, which means certain fractures (especially those at the waist or proximal pole) are at risk for avascular necrosis (AVN) ”” loss of blood supply leading to bone death. Early diagnosis and proper treatment are critical to prevent complications. Symptoms Pain in the anatomical snuffbox (the hollow space at the base of the thumb) Wrist pain with gripping or thumb motion Swelling may be minimal initially</w:t>
      </w:r>
    </w:p>
    <w:p>
      <w:pPr>
        <w:spacing w:before="40" w:after="20" w:line="220" w:lineRule="exact"/>
        <w:jc w:val="left"/>
      </w:pPr>
      <w:r>
        <w:rPr>
          <w:b/>
          <w:i w:val="0"/>
          <w:sz w:val="20"/>
        </w:rPr>
        <w:t>IMPORTANT:</w:t>
      </w:r>
    </w:p>
    <w:p>
      <w:pPr>
        <w:spacing w:before="0" w:after="40" w:line="198" w:lineRule="exact"/>
        <w:jc w:val="left"/>
      </w:pPr>
      <w:r>
        <w:rPr>
          <w:b w:val="0"/>
          <w:i w:val="0"/>
          <w:sz w:val="18"/>
        </w:rPr>
        <w:t>Scaphoid fractures are often missed on initial X-rays. If a scaphoid fracture is suspected clinically, you may be placed in a splint and have repeat imaging (X-ray, CT, or MRI) in 1-2 weeks. Treatment Non-Displaced Fractures A thumb spica cast for 8-12 weeks, with regular X-rays to monitor healing. Displaced or Unstable Fractures Surgical fixation with a headless compression screw provides rigid fixation and may allow earlier motion and faster return to activity. Recovery Scaphoid fractures can take 8-16 weeks to heal, depending on location Proximal pole fractures take the longest due to limited blood supply Hand therapy begins after immobilization is complete Return to sports typically at 3-4 months, depending on healing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