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20"/>
        <w:jc w:val="center"/>
      </w:pPr>
      <w:r>
        <w:rPr>
          <w:rFonts w:ascii="Calibri" w:cs="Calibri" w:eastAsia="Calibri" w:hAnsi="Calibri"/>
          <w:b/>
          <w:bCs/>
          <w:color w:val="1a3a5c"/>
          <w:sz w:val="24"/>
          <w:szCs w:val="24"/>
        </w:rPr>
        <w:t xml:space="preserve">Proximal Humerus Intramedullary Nail Protocol (4-part Fractures)</w:t>
      </w:r>
    </w:p>
    <w:p>
      <w:pPr>
        <w:spacing w:after="20" w:before="4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Name: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Date of Surgery: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</w:t>
      </w:r>
    </w:p>
    <w:p>
      <w:pPr>
        <w:spacing w:after="4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Diagnosis: </w:t>
      </w:r>
      <w:r>
        <w:rPr>
          <w:rFonts w:ascii="Calibri" w:cs="Calibri" w:eastAsia="Calibri" w:hAnsi="Calibri"/>
          <w:sz w:val="18"/>
          <w:szCs w:val="18"/>
        </w:rPr>
        <w:t xml:space="preserve">________________________________________________________________________</w:t>
      </w:r>
    </w:p>
    <w:p>
      <w:pPr>
        <w:pBdr>
          <w:bottom w:val="single" w:color="dddddd" w:sz="4" w:space="4"/>
        </w:pBdr>
        <w:spacing w:after="60" w:before="0" w:line="20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Frequency: </w:t>
      </w:r>
      <w:r>
        <w:rPr>
          <w:rFonts w:ascii="Calibri" w:cs="Calibri" w:eastAsia="Calibri" w:hAnsi="Calibri"/>
          <w:sz w:val="18"/>
          <w:szCs w:val="18"/>
        </w:rPr>
        <w:t xml:space="preserve">2-3 times / week</w:t>
      </w:r>
      <w:r>
        <w:rPr>
          <w:rFonts w:ascii="Calibri" w:cs="Calibri" w:eastAsia="Calibri" w:hAnsi="Calibri"/>
          <w:sz w:val="18"/>
          <w:szCs w:val="18"/>
        </w:rPr>
        <w:t xml:space="preserve">    </w:t>
      </w:r>
      <w:r>
        <w:rPr>
          <w:rFonts w:ascii="Calibri" w:cs="Calibri" w:eastAsia="Calibri" w:hAnsi="Calibri"/>
          <w:b/>
          <w:bCs/>
          <w:sz w:val="18"/>
          <w:szCs w:val="18"/>
        </w:rPr>
        <w:t xml:space="preserve">Duration: </w:t>
      </w:r>
      <w:r>
        <w:rPr>
          <w:rFonts w:ascii="Calibri" w:cs="Calibri" w:eastAsia="Calibri" w:hAnsi="Calibri"/>
          <w:sz w:val="18"/>
          <w:szCs w:val="18"/>
        </w:rPr>
        <w:t xml:space="preserve">1 2 3 4 5 6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Evidence shows comparable functional outcomes and rehabilitation timelines between IM nail and locking plate fixation for 3- and 4-part proximal humerus fractures. This protocol mirrors the 4-part ORIF protocol.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0-2: Period of Protection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at all times.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Elbow/wrist/hand 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Pendulums only.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No active shoulder motion.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2-6 (Phase 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Sling at all times between therapy sessions.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PROM only: FF to 90°, ER to 20-30°, ABD to 60°.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PROM slowly.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6-10 (Phase 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Discontinue sling at 6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AAROM cautiously.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from supine to upright positions.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10-16 (Phase III)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 to AROM.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Isometrics at 10-12 weeks.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Begin gentle resistance at 14-16 weeks.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Weeks 16+ (Phase IV)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Progressive strengthening with bands and light weights (1-3 lbs).</w:t>
      </w:r>
    </w:p>
    <w:p>
      <w:pPr>
        <w:spacing w:after="10" w:before="0" w:line="200"/>
        <w:ind w:left="180" w:hanging="140"/>
      </w:pPr>
      <w:r>
        <w:rPr>
          <w:rFonts w:ascii="Calibri" w:cs="Calibri" w:eastAsia="Calibri" w:hAnsi="Calibri"/>
          <w:sz w:val="18"/>
          <w:szCs w:val="18"/>
        </w:rPr>
        <w:t xml:space="preserve">•  </w:t>
      </w:r>
      <w:r>
        <w:rPr>
          <w:rFonts w:ascii="Calibri" w:cs="Calibri" w:eastAsia="Calibri" w:hAnsi="Calibri"/>
          <w:sz w:val="18"/>
          <w:szCs w:val="18"/>
        </w:rPr>
        <w:t xml:space="preserve">Full strengthening by 6 months.</w:t>
      </w:r>
    </w:p>
    <w:p>
      <w:pPr>
        <w:spacing w:after="20" w:before="60" w:line="200"/>
      </w:pPr>
      <w:r>
        <w:rPr>
          <w:rFonts w:ascii="Calibri" w:cs="Calibri" w:eastAsia="Calibri" w:hAnsi="Calibri"/>
          <w:b/>
          <w:bCs/>
          <w:color w:val="2a5a8c"/>
          <w:sz w:val="18"/>
          <w:szCs w:val="18"/>
        </w:rPr>
        <w:t xml:space="preserve">Return to activity at 6+ months per radiographic healing.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Note: IM nail patients may experience rotator cuff irritation at the nail entry site. If supraspinatus symptoms develop, modify overhead strengthening accordingly. Hardware removal may be considered after union if symptomatic.</w:t>
      </w:r>
    </w:p>
    <w:p>
      <w:pPr>
        <w:spacing w:after="20" w:before="40" w:line="200"/>
      </w:pPr>
      <w:r>
        <w:rPr>
          <w:rFonts w:ascii="Calibri" w:cs="Calibri" w:eastAsia="Calibri" w:hAnsi="Calibri"/>
          <w:i/>
          <w:iCs/>
          <w:color w:val="444444"/>
          <w:sz w:val="16"/>
          <w:szCs w:val="16"/>
        </w:rPr>
        <w:t xml:space="preserve">Modalities: Per therapist, including electrical stimulation, ultrasound, heat before, ice after.</w:t>
      </w:r>
    </w:p>
    <w:p>
      <w:pPr>
        <w:spacing w:after="20" w:before="40" w:line="180"/>
      </w:pPr>
      <w:r>
        <w:rPr>
          <w:rFonts w:ascii="Calibri" w:cs="Calibri" w:eastAsia="Calibri" w:hAnsi="Calibri"/>
          <w:i/>
          <w:iCs/>
          <w:color w:val="666666"/>
          <w:sz w:val="12"/>
          <w:szCs w:val="12"/>
        </w:rPr>
        <w:t xml:space="preserve">Primary Reference: Vaccalluzzo et al., J Clin Med, 2025 (IM nail vs. locking plate — comparable outcomes); Boyer et al., Int Orthop, 2021 (RCT comparing IM nail vs. plate for 3/4-part PHF); Wikerøy et al., JBJS Open Access, 2025 (RCT — 2-year results, nail vs. plate).</w:t>
      </w:r>
    </w:p>
    <w:p>
      <w:pPr>
        <w:spacing w:after="0" w:before="60" w:line="200"/>
        <w:jc w:val="left"/>
      </w:pPr>
      <w:r>
        <w:rPr>
          <w:rFonts w:ascii="Calibri" w:cs="Calibri" w:eastAsia="Calibri" w:hAnsi="Calibri"/>
          <w:sz w:val="16"/>
          <w:szCs w:val="16"/>
        </w:rPr>
        <w:t xml:space="preserve">Therapist Signature: </w:t>
      </w:r>
      <w:r>
        <w:rPr>
          <w:rFonts w:ascii="Calibri" w:cs="Calibri" w:eastAsia="Calibri" w:hAnsi="Calibri"/>
          <w:sz w:val="16"/>
          <w:szCs w:val="16"/>
        </w:rPr>
        <w:t xml:space="preserve">_______________________  </w:t>
      </w:r>
      <w:r>
        <w:rPr>
          <w:rFonts w:ascii="Calibri" w:cs="Calibri" w:eastAsia="Calibri" w:hAnsi="Calibri"/>
          <w:sz w:val="16"/>
          <w:szCs w:val="16"/>
        </w:rPr>
        <w:t xml:space="preserve">Date: </w:t>
      </w:r>
      <w:r>
        <w:rPr>
          <w:rFonts w:ascii="Calibri" w:cs="Calibri" w:eastAsia="Calibri" w:hAnsi="Calibri"/>
          <w:sz w:val="16"/>
          <w:szCs w:val="16"/>
        </w:rPr>
        <w:t xml:space="preserve">__________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i/>
        <w:iCs/>
        <w:color w:val="999999"/>
        <w:sz w:val="12"/>
        <w:szCs w:val="12"/>
      </w:rPr>
      <w:t xml:space="preserve">For educational purposes. Modify per clinical judgment and patient-specific factors.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2"/>
      </w:pBdr>
      <w:spacing w:after="20"/>
      <w:jc w:val="right"/>
    </w:pPr>
    <w:r>
      <w:rPr>
        <w:rFonts w:ascii="Calibri" w:cs="Calibri" w:eastAsia="Calibri" w:hAnsi="Calibri"/>
        <w:b/>
        <w:bCs/>
        <w:color w:val="1a3a5c"/>
        <w:sz w:val="16"/>
        <w:szCs w:val="16"/>
      </w:rPr>
      <w:t xml:space="preserve">James D. Oosten, MD</w:t>
    </w:r>
    <w:r>
      <w:rPr>
        <w:rFonts w:ascii="Calibri" w:cs="Calibri" w:eastAsia="Calibri" w:hAnsi="Calibri"/>
        <w:color w:val="666666"/>
        <w:sz w:val="12"/>
        <w:szCs w:val="12"/>
      </w:rPr>
      <w:t xml:space="preserve">   —   Upper Extremity Orthopedic Surgery   —   </w:t>
    </w:r>
    <w:r>
      <w:rPr>
        <w:rFonts w:ascii="Calibri" w:cs="Calibri" w:eastAsia="Calibri" w:hAnsi="Calibri"/>
        <w:color w:val="3d8eb9"/>
        <w:sz w:val="12"/>
        <w:szCs w:val="12"/>
      </w:rPr>
      <w:t xml:space="preserve">jamesoostenmd.com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PROXIMAL HUMERUS INTRAMEDULLARY NAIL PROTOCOL (4-PART FRACTURES)</dc:title>
  <dc:creator>James D. Oosten, MD</dc:creator>
  <dc:description>Rehabilitation protocol</dc:description>
  <cp:lastModifiedBy>Un-named</cp:lastModifiedBy>
  <cp:revision>1</cp:revision>
  <dcterms:created xsi:type="dcterms:W3CDTF">2026-04-21T01:34:47.980Z</dcterms:created>
  <dcterms:modified xsi:type="dcterms:W3CDTF">2026-04-21T01:34:47.980Z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