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20"/>
        <w:jc w:val="center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Proximal Humerus ORIF Protocol (4-part Fractures)</w:t>
      </w:r>
    </w:p>
    <w:p>
      <w:pPr>
        <w:spacing w:after="20" w:before="40" w:line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Name: </w:t>
      </w:r>
      <w:r>
        <w:rPr>
          <w:rFonts w:ascii="Calibri" w:cs="Calibri" w:eastAsia="Calibri" w:hAnsi="Calibri"/>
          <w:sz w:val="18"/>
          <w:szCs w:val="18"/>
        </w:rPr>
        <w:t xml:space="preserve">_______________________________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Date of Surgery: </w:t>
      </w:r>
      <w:r>
        <w:rPr>
          <w:rFonts w:ascii="Calibri" w:cs="Calibri" w:eastAsia="Calibri" w:hAnsi="Calibri"/>
          <w:sz w:val="18"/>
          <w:szCs w:val="18"/>
        </w:rPr>
        <w:t xml:space="preserve">_______________________________</w:t>
      </w:r>
    </w:p>
    <w:p>
      <w:pPr>
        <w:spacing w:after="40" w:before="0" w:line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Diagnosis: </w:t>
      </w:r>
      <w:r>
        <w:rPr>
          <w:rFonts w:ascii="Calibri" w:cs="Calibri" w:eastAsia="Calibri" w:hAnsi="Calibri"/>
          <w:sz w:val="18"/>
          <w:szCs w:val="18"/>
        </w:rPr>
        <w:t xml:space="preserve">________________________________________________________________________</w:t>
      </w:r>
    </w:p>
    <w:p>
      <w:pPr>
        <w:pBdr>
          <w:bottom w:val="single" w:color="dddddd" w:sz="4" w:space="4"/>
        </w:pBdr>
        <w:spacing w:after="60" w:before="0" w:line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Frequency: </w:t>
      </w:r>
      <w:r>
        <w:rPr>
          <w:rFonts w:ascii="Calibri" w:cs="Calibri" w:eastAsia="Calibri" w:hAnsi="Calibri"/>
          <w:sz w:val="18"/>
          <w:szCs w:val="18"/>
        </w:rPr>
        <w:t xml:space="preserve">2-3 times / week</w:t>
      </w:r>
      <w:r>
        <w:rPr>
          <w:rFonts w:ascii="Calibri" w:cs="Calibri" w:eastAsia="Calibri" w:hAnsi="Calibri"/>
          <w:sz w:val="18"/>
          <w:szCs w:val="18"/>
        </w:rPr>
        <w:t xml:space="preserve">  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Duration: </w:t>
      </w:r>
      <w:r>
        <w:rPr>
          <w:rFonts w:ascii="Calibri" w:cs="Calibri" w:eastAsia="Calibri" w:hAnsi="Calibri"/>
          <w:sz w:val="18"/>
          <w:szCs w:val="18"/>
        </w:rPr>
        <w:t xml:space="preserve">1 2 3 4 5 6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4-part fractures have higher risk of AVN and fixation failure. Rehabilitation is more conservative than 2/3-part fractures.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Weeks 0-2: Period of Protection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Sling at all times.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Elbow/wrist/hand ROM.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Pendulums only.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No active shoulder motion.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Weeks 2-6 (Phase I)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Sling at all times between therapy sessions.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PROM only: FF to 90°, ER to 20-30°, ABD to 60°.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Progress PROM slowly — do not force ROM.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Weeks 6-10 (Phase II)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Discontinue sling at 6 weeks.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Begin AAROM cautiously.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Progress from supine to upright positions.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Weeks 10-16 (Phase III)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Progress to AROM.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Isometrics at 10-12 weeks.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Begin gentle resistance at 14-16 weeks.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Weeks 16+ (Phase IV)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Progressive strengthening with bands and light weights (1-3 lbs).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Full strengthening by 6 months.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Return to activity at 6+ months per radiographic healing.</w:t>
      </w:r>
    </w:p>
    <w:p>
      <w:pPr>
        <w:spacing w:after="20" w:before="40" w:line="200"/>
      </w:pPr>
      <w:r>
        <w:rPr>
          <w:rFonts w:ascii="Calibri" w:cs="Calibri" w:eastAsia="Calibri" w:hAnsi="Calibri"/>
          <w:i/>
          <w:iCs/>
          <w:color w:val="444444"/>
          <w:sz w:val="16"/>
          <w:szCs w:val="16"/>
        </w:rPr>
        <w:t xml:space="preserve">Note: Monitor radiographs closely for AVN and loss of fixation. If AVN develops, strengthening may need to be delayed or modified. Tuberosity healing must be confirmed before advancing to resistance exercises.</w:t>
      </w:r>
    </w:p>
    <w:p>
      <w:pPr>
        <w:spacing w:after="20" w:before="40" w:line="200"/>
      </w:pPr>
      <w:r>
        <w:rPr>
          <w:rFonts w:ascii="Calibri" w:cs="Calibri" w:eastAsia="Calibri" w:hAnsi="Calibri"/>
          <w:i/>
          <w:iCs/>
          <w:color w:val="444444"/>
          <w:sz w:val="16"/>
          <w:szCs w:val="16"/>
        </w:rPr>
        <w:t xml:space="preserve">Modalities: Per therapist, including electrical stimulation, ultrasound, heat before, ice after.</w:t>
      </w:r>
    </w:p>
    <w:p>
      <w:pPr>
        <w:spacing w:after="20" w:before="40" w:line="180"/>
      </w:pPr>
      <w:r>
        <w:rPr>
          <w:rFonts w:ascii="Calibri" w:cs="Calibri" w:eastAsia="Calibri" w:hAnsi="Calibri"/>
          <w:i/>
          <w:iCs/>
          <w:color w:val="666666"/>
          <w:sz w:val="12"/>
          <w:szCs w:val="12"/>
        </w:rPr>
        <w:t xml:space="preserve">Primary Reference: Ma et al., Sci Rep, 2025 (locking plate fixation in 3- and 4-part PHF — complications and rehabilitation); Gavaskar et al., Clin Orthop Relat Res, 2022 (factors associated with poor outcomes after 3/4-part fracture-dislocation ORIF).</w:t>
      </w:r>
    </w:p>
    <w:p>
      <w:pPr>
        <w:spacing w:after="0" w:before="60" w:line="200"/>
        <w:jc w:val="left"/>
      </w:pPr>
      <w:r>
        <w:rPr>
          <w:rFonts w:ascii="Calibri" w:cs="Calibri" w:eastAsia="Calibri" w:hAnsi="Calibri"/>
          <w:sz w:val="16"/>
          <w:szCs w:val="16"/>
        </w:rPr>
        <w:t xml:space="preserve">Therapist Signature: </w:t>
      </w:r>
      <w:r>
        <w:rPr>
          <w:rFonts w:ascii="Calibri" w:cs="Calibri" w:eastAsia="Calibri" w:hAnsi="Calibri"/>
          <w:sz w:val="16"/>
          <w:szCs w:val="16"/>
        </w:rPr>
        <w:t xml:space="preserve">_______________________  </w:t>
      </w:r>
      <w:r>
        <w:rPr>
          <w:rFonts w:ascii="Calibri" w:cs="Calibri" w:eastAsia="Calibri" w:hAnsi="Calibri"/>
          <w:sz w:val="16"/>
          <w:szCs w:val="16"/>
        </w:rPr>
        <w:t xml:space="preserve">Date: </w:t>
      </w:r>
      <w:r>
        <w:rPr>
          <w:rFonts w:ascii="Calibri" w:cs="Calibri" w:eastAsia="Calibri" w:hAnsi="Calibri"/>
          <w:sz w:val="16"/>
          <w:szCs w:val="16"/>
        </w:rPr>
        <w:t xml:space="preserve">__________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i/>
        <w:iCs/>
        <w:color w:val="999999"/>
        <w:sz w:val="12"/>
        <w:szCs w:val="12"/>
      </w:rPr>
      <w:t xml:space="preserve">For educational purposes. Modify per clinical judgment and patient-specific factors.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4" w:space="2"/>
      </w:pBdr>
      <w:spacing w:after="20"/>
      <w:jc w:val="right"/>
    </w:pPr>
    <w:r>
      <w:rPr>
        <w:rFonts w:ascii="Calibri" w:cs="Calibri" w:eastAsia="Calibri" w:hAnsi="Calibri"/>
        <w:b/>
        <w:bCs/>
        <w:color w:val="1a3a5c"/>
        <w:sz w:val="16"/>
        <w:szCs w:val="16"/>
      </w:rPr>
      <w:t xml:space="preserve">James D. Oosten, MD</w:t>
    </w:r>
    <w:r>
      <w:rPr>
        <w:rFonts w:ascii="Calibri" w:cs="Calibri" w:eastAsia="Calibri" w:hAnsi="Calibri"/>
        <w:color w:val="666666"/>
        <w:sz w:val="12"/>
        <w:szCs w:val="12"/>
      </w:rPr>
      <w:t xml:space="preserve">   —   Upper Extremity Orthopedic Surgery   —   </w:t>
    </w:r>
    <w:r>
      <w:rPr>
        <w:rFonts w:ascii="Calibri" w:cs="Calibri" w:eastAsia="Calibri" w:hAnsi="Calibri"/>
        <w:color w:val="3d8eb9"/>
        <w:sz w:val="12"/>
        <w:szCs w:val="12"/>
      </w:rPr>
      <w:t xml:space="preserve">jamesoostenmd.com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PROXIMAL HUMERUS ORIF PROTOCOL (4-PART FRACTURES)</dc:title>
  <dc:creator>James D. Oosten, MD</dc:creator>
  <dc:description>Rehabilitation protocol</dc:description>
  <cp:lastModifiedBy>Un-named</cp:lastModifiedBy>
  <cp:revision>1</cp:revision>
  <dcterms:created xsi:type="dcterms:W3CDTF">2026-04-21T01:34:47.952Z</dcterms:created>
  <dcterms:modified xsi:type="dcterms:W3CDTF">2026-04-21T01:34:47.952Z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