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ROTATOR CUFF REPAIR WITH SUBSCAPULARIS REPAIR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Follow the Rotator Cuff Repair Protocol with the following additional restrictions: Absolutely NO active internal rotation for 6 weeks. No passive internal rotation behind the back for 8 weeks. ER limited to 0-20° at side for first 6 weeks (protect subscapularis repair). Begin gentle active IR at 8 weeks. IR strengthening not until 12-16 weeks. All other milestones follow the standard rotator cuff repair protocol.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