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20"/>
        <w:jc w:val="center"/>
      </w:pPr>
      <w:r>
        <w:rPr>
          <w:rFonts w:ascii="Calibri" w:cs="Calibri" w:eastAsia="Calibri" w:hAnsi="Calibri"/>
          <w:b/>
          <w:bCs/>
          <w:color w:val="1a3a5c"/>
          <w:sz w:val="24"/>
          <w:szCs w:val="24"/>
        </w:rPr>
        <w:t xml:space="preserve">Sternoclavicular (SC) Joint Reconstruction Protocol</w:t>
      </w:r>
    </w:p>
    <w:p>
      <w:pPr>
        <w:spacing w:after="20" w:before="4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Name: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Date of Surgery: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</w:t>
      </w:r>
    </w:p>
    <w:p>
      <w:pPr>
        <w:spacing w:after="4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Diagnosis: </w:t>
      </w:r>
      <w:r>
        <w:rPr>
          <w:rFonts w:ascii="Calibri" w:cs="Calibri" w:eastAsia="Calibri" w:hAnsi="Calibri"/>
          <w:sz w:val="18"/>
          <w:szCs w:val="18"/>
        </w:rPr>
        <w:t xml:space="preserve">________________________________________________________________________</w:t>
      </w:r>
    </w:p>
    <w:p>
      <w:pPr>
        <w:pBdr>
          <w:bottom w:val="single" w:color="dddddd" w:sz="4" w:space="4"/>
        </w:pBdr>
        <w:spacing w:after="60" w:before="0" w:line="20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Frequency: </w:t>
      </w:r>
      <w:r>
        <w:rPr>
          <w:rFonts w:ascii="Calibri" w:cs="Calibri" w:eastAsia="Calibri" w:hAnsi="Calibri"/>
          <w:sz w:val="18"/>
          <w:szCs w:val="18"/>
        </w:rPr>
        <w:t xml:space="preserve">2-3 times / week</w:t>
      </w:r>
      <w:r>
        <w:rPr>
          <w:rFonts w:ascii="Calibri" w:cs="Calibri" w:eastAsia="Calibri" w:hAnsi="Calibri"/>
          <w:sz w:val="18"/>
          <w:szCs w:val="18"/>
        </w:rPr>
        <w:t xml:space="preserve">   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Duration: </w:t>
      </w:r>
      <w:r>
        <w:rPr>
          <w:rFonts w:ascii="Calibri" w:cs="Calibri" w:eastAsia="Calibri" w:hAnsi="Calibri"/>
          <w:sz w:val="18"/>
          <w:szCs w:val="18"/>
        </w:rPr>
        <w:t xml:space="preserve">1 2 3 4 5 6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0-6: Period of Protection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Sling at all times for 6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No shoulder motion for 2 weeks.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Begin PROM at 2 weeks: FF to 90°, limited ER and ABD.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6-12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Discontinue sling.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AAROM to AROM.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Isometrics at 8 weeks.</w:t>
      </w:r>
    </w:p>
    <w:p>
      <w:pPr>
        <w:spacing w:after="20" w:before="60" w:line="200"/>
      </w:pPr>
      <w:r>
        <w:rPr>
          <w:rFonts w:ascii="Calibri" w:cs="Calibri" w:eastAsia="Calibri" w:hAnsi="Calibri"/>
          <w:b/>
          <w:bCs/>
          <w:color w:val="2a5a8c"/>
          <w:sz w:val="18"/>
          <w:szCs w:val="18"/>
        </w:rPr>
        <w:t xml:space="preserve">Weeks 12+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Progressive strengthening.</w:t>
      </w:r>
    </w:p>
    <w:p>
      <w:pPr>
        <w:spacing w:after="10" w:before="0" w:line="200"/>
        <w:ind w:left="180" w:hanging="140"/>
      </w:pPr>
      <w:r>
        <w:rPr>
          <w:rFonts w:ascii="Calibri" w:cs="Calibri" w:eastAsia="Calibri" w:hAnsi="Calibri"/>
          <w:sz w:val="18"/>
          <w:szCs w:val="18"/>
        </w:rPr>
        <w:t xml:space="preserve">•  </w:t>
      </w:r>
      <w:r>
        <w:rPr>
          <w:rFonts w:ascii="Calibri" w:cs="Calibri" w:eastAsia="Calibri" w:hAnsi="Calibri"/>
          <w:sz w:val="18"/>
          <w:szCs w:val="18"/>
        </w:rPr>
        <w:t xml:space="preserve">Full return at 6+ months.</w:t>
      </w:r>
    </w:p>
    <w:p>
      <w:pPr>
        <w:spacing w:after="20" w:before="40" w:line="200"/>
      </w:pPr>
      <w:r>
        <w:rPr>
          <w:rFonts w:ascii="Calibri" w:cs="Calibri" w:eastAsia="Calibri" w:hAnsi="Calibri"/>
          <w:i/>
          <w:iCs/>
          <w:color w:val="444444"/>
          <w:sz w:val="16"/>
          <w:szCs w:val="16"/>
        </w:rPr>
        <w:t xml:space="preserve">Modalities: Per therapist, including electrical stimulation, ultrasound, heat before, ice after.</w:t>
      </w:r>
    </w:p>
    <w:p>
      <w:pPr>
        <w:spacing w:after="20" w:before="40" w:line="180"/>
      </w:pPr>
      <w:r>
        <w:rPr>
          <w:rFonts w:ascii="Calibri" w:cs="Calibri" w:eastAsia="Calibri" w:hAnsi="Calibri"/>
          <w:i/>
          <w:iCs/>
          <w:color w:val="666666"/>
          <w:sz w:val="12"/>
          <w:szCs w:val="12"/>
        </w:rPr>
        <w:t xml:space="preserve">Primary Reference: Bae DS, Kocher MS, Waters PM, Micheli LJ. Chronic recurrent anterior sternoclavicular joint instability. J Pediatr Orthop, 2006; Groh GI, Wirth MA. Management of traumatic sternoclavicular joint injuries. J Am Acad Orthop Surg, 2011.</w:t>
      </w:r>
    </w:p>
    <w:p>
      <w:pPr>
        <w:spacing w:after="0" w:before="60" w:line="200"/>
        <w:jc w:val="left"/>
      </w:pPr>
      <w:r>
        <w:rPr>
          <w:rFonts w:ascii="Calibri" w:cs="Calibri" w:eastAsia="Calibri" w:hAnsi="Calibri"/>
          <w:sz w:val="16"/>
          <w:szCs w:val="16"/>
        </w:rPr>
        <w:t xml:space="preserve">Therapist Signature: </w:t>
      </w:r>
      <w:r>
        <w:rPr>
          <w:rFonts w:ascii="Calibri" w:cs="Calibri" w:eastAsia="Calibri" w:hAnsi="Calibri"/>
          <w:sz w:val="16"/>
          <w:szCs w:val="16"/>
        </w:rPr>
        <w:t xml:space="preserve">_______________________  </w:t>
      </w:r>
      <w:r>
        <w:rPr>
          <w:rFonts w:ascii="Calibri" w:cs="Calibri" w:eastAsia="Calibri" w:hAnsi="Calibri"/>
          <w:sz w:val="16"/>
          <w:szCs w:val="16"/>
        </w:rPr>
        <w:t xml:space="preserve">Date: </w:t>
      </w:r>
      <w:r>
        <w:rPr>
          <w:rFonts w:ascii="Calibri" w:cs="Calibri" w:eastAsia="Calibri" w:hAnsi="Calibri"/>
          <w:sz w:val="16"/>
          <w:szCs w:val="16"/>
        </w:rPr>
        <w:t xml:space="preserve">__________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i/>
        <w:iCs/>
        <w:color w:val="999999"/>
        <w:sz w:val="12"/>
        <w:szCs w:val="12"/>
      </w:rPr>
      <w:t xml:space="preserve">For educational purposes. Modify per clinical judgment and patient-specific factors.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2"/>
      </w:pBdr>
      <w:spacing w:after="20"/>
      <w:jc w:val="right"/>
    </w:pPr>
    <w:r>
      <w:rPr>
        <w:rFonts w:ascii="Calibri" w:cs="Calibri" w:eastAsia="Calibri" w:hAnsi="Calibri"/>
        <w:b/>
        <w:bCs/>
        <w:color w:val="1a3a5c"/>
        <w:sz w:val="16"/>
        <w:szCs w:val="16"/>
      </w:rPr>
      <w:t xml:space="preserve">James D. Oosten, MD</w:t>
    </w:r>
    <w:r>
      <w:rPr>
        <w:rFonts w:ascii="Calibri" w:cs="Calibri" w:eastAsia="Calibri" w:hAnsi="Calibri"/>
        <w:color w:val="666666"/>
        <w:sz w:val="12"/>
        <w:szCs w:val="12"/>
      </w:rPr>
      <w:t xml:space="preserve">   —   Upper Extremity Orthopedic Surgery   —   </w:t>
    </w:r>
    <w:r>
      <w:rPr>
        <w:rFonts w:ascii="Calibri" w:cs="Calibri" w:eastAsia="Calibri" w:hAnsi="Calibri"/>
        <w:color w:val="3d8eb9"/>
        <w:sz w:val="12"/>
        <w:szCs w:val="12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STERNOCLAVICULAR (SC) JOINT RECONSTRUCTION PROTOCOL</dc:title>
  <dc:creator>James D. Oosten, MD</dc:creator>
  <dc:description>Rehabilitation protocol</dc:description>
  <cp:lastModifiedBy>Un-named</cp:lastModifiedBy>
  <cp:revision>1</cp:revision>
  <dcterms:created xsi:type="dcterms:W3CDTF">2026-04-21T01:34:48.891Z</dcterms:created>
  <dcterms:modified xsi:type="dcterms:W3CDTF">2026-04-21T01:34:48.891Z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