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Wrist Fracture Rehabilitation Protocol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Overview This protocol provides general guidelines for rehabilitation after a distal radius (wrist) fracture treated with casting or surgical fixation (ORIF). Your surgeon will modify this timeline based on your specific fracture and healing progress.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Phase 1: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Protection (Weeks 0-2) Goals: Protect the fracture, control swelling, maintain finger motion Elevate the hand above heart level frequently Active range of motion: fingers, thumb, elbow, and shoulder Gentle finger tendon gliding exercises No wrist motion unless specifically cleared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Phase 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Early Motion (Weeks 2-6) Goals: Begin gentle wrist motion, continue swelling control Transition to removable splint (if surgical fixation) Active wrist flexion/extension and radial/ulnar deviation Forearm rotation (supination/pronation) Grip strengthening with therapy putty (light resistance) Continue finger range of motion exercises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Phase 3: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Strengthening (Weeks 6-12) Goals: Restore strength and functional use Progressive grip and pinch strengthening Weight-bearing as tolerated (push-ups, weight lifting) Functional activities (cooking, opening jars, carrying groceries) Stretching for any residual stiffness Phase 4: Return to Full Activity (3-6 Months) Goals: Full return to work, sports, and activities Sport-specific or work-specific training Impact activities (contact sports, heavy lifting) typically allowed at 3-6 months Maximum strength and motion improvement may continue for up to 1 year Expected Outcomes Most patients recover 80-90% of their pre-injury wrist motion Grip strength typically returns to near-normal by 6 months Some wrist stiffness or weather-related achiness is common and usually mild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