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DISTAL BICEPS TENDON RECONSTRUCTION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For chronic ruptures reconstructed with allograft (e.g., Achilles tendon) or autograft (e.g., semitendinosus). More conservative than primary repair due to graft healing requirements.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0-2: Period of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Posterior splint at 90° flexion, forearm in neutral.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active elbow flexion or forearm supination.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Finger/wrist/shoulder ROM permitted.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2-6 (Phase 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Hinged elbow brace: 30-120° initially, progress 10° extension/week.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PROM and AAROM elbow flexion/extension.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active supination against resistance.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lifting.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6-12 (Phase 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brace at 8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active supination at 8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Isometric biceps at 10 weeks.</w:t>
      </w:r>
    </w:p>
    <w:p>
      <w:pPr>
        <w:spacing w:before="0" w:after="40" w:line="179" w:lineRule="exact"/>
        <w:jc w:val="left"/>
      </w:pPr>
      <w:r>
        <w:rPr>
          <w:b w:val="0"/>
          <w:i/>
          <w:sz w:val="16"/>
        </w:rPr>
        <w:t>Note: Graft incorporation requires longer protection than primary repair.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12-20 (Phase III):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resistance: bands → weights (1-5 lbs).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eccentric biceps exercises at 14-16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20+ (Phase IV):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heavy lifting at 6-9 months.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Srinivasan RC, Pederson WC, Morrey BF. Distal biceps tendon repair and reconstruction. J Hand Surg, 2020; Frank T et al. Management of chronic distal biceps tendon ruptures: primary repair vs. semitendinosus autograft reconstruction. J Shoulder Elbow Surg, 2019.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