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DISTAL BICEPS TENDON REPAIR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Posterior splint at 90° flexion, forearm in neutral to slight supination.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elbow flexion or forearm supination.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Finger/wrist/shoulder ROM permitted.</w:t>
      </w:r>
    </w:p>
    <w:p>
      <w:pPr>
        <w:spacing w:before="0" w:after="40" w:line="179" w:lineRule="exact"/>
        <w:jc w:val="left"/>
      </w:pPr>
      <w:r>
        <w:rPr>
          <w:b w:val="0"/>
          <w:i/>
          <w:sz w:val="16"/>
        </w:rPr>
        <w:t>Note: For cortical button fixation, surgeon may allow earlier active ROM as tolerated per recent evidence supporting early mobilization with this technique.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Hinged elbow brace: 30-120° initially, progress 10° extension/week.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PROM and AAROM elbow flexion/extension.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active supination against resistance.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lifting.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brace.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gentle active supination.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 biceps at 8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resistance: bands → weights (1-5 lbs).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eccentric biceps exercises.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16+ (Phase IV):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heavy lifting at 5-6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Simpson et al., Am J Sports Med, 2025 (systematic review/meta-analysis of early vs. delayed mobilization); Bergman et al., JBJS, 2021 (RCT of early mobilization with cortical button).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