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LATERAL/MEDIAL EPICONDYLITIS DEBRIDEMENT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Days 0-7: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Posterior splint or brace for comfort.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finger/wrist ROM.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1-3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AROM elbow flexion/extension, forearm rotation.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Gentle wrist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resisted wrist extension/flexion.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3-6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elbow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isometric wrist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to eccentric strengthening at 4-5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6-12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resistance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Counterforce brace for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sport/full activity at 3-4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Nirschl RP, Pettrone FA. Tennis elbow: the surgical treatment of lateral epicondylitis. JBJS, 1979; Baker CL et al. Arthroscopic classification and treatment of lateral epicondylitis. J Shoulder Elbow Surg, 2000.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