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9" w:lineRule="exact"/>
        <w:jc w:val="center"/>
      </w:pPr>
      <w:r>
        <w:rPr>
          <w:b/>
          <w:i w:val="0"/>
          <w:sz w:val="24"/>
        </w:rPr>
        <w:t>LATERAL ULNAR COLLATERAL LIGAMENT (LUCL) RECONSTRUCTION PROTOCOL</w:t>
      </w:r>
    </w:p>
    <w:p>
      <w:pPr>
        <w:spacing w:before="0" w:after="20" w:line="179" w:lineRule="exact"/>
        <w:jc w:val="left"/>
      </w:pPr>
      <w:r>
        <w:rPr>
          <w:b w:val="0"/>
          <w:i w:val="0"/>
          <w:sz w:val="16"/>
        </w:rPr>
        <w:t>Name: _____________________  Diagnosis: _____________________  Date of Surgery: ____________</w:t>
      </w:r>
    </w:p>
    <w:p>
      <w:pPr>
        <w:spacing w:before="0" w:after="60" w:line="179" w:lineRule="exact"/>
        <w:jc w:val="left"/>
      </w:pPr>
      <w:r>
        <w:rPr>
          <w:b w:val="0"/>
          <w:i w:val="0"/>
          <w:sz w:val="16"/>
        </w:rPr>
        <w:t>Frequency: 2-3 times / week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Weeks 0-2: Period of Protection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Posterior splint at 90°.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varus stress.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No forearm supination against resistance.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2-6: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Hinged brace: 30-120° progressing.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AROM flexion/extension.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Avoid positions that stress lateral ligament (arm overhead with forearm supinated).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6-12: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Full ROM.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Isometrics.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Begin light resistance at 8 weeks.</w:t>
      </w:r>
    </w:p>
    <w:p>
      <w:pPr>
        <w:spacing w:before="60" w:after="20" w:line="224" w:lineRule="exact"/>
        <w:jc w:val="left"/>
      </w:pPr>
      <w:r>
        <w:rPr>
          <w:b/>
          <w:i w:val="0"/>
          <w:sz w:val="20"/>
        </w:rPr>
        <w:t>Weeks 12+: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Progressive strengthening.</w:t>
      </w:r>
    </w:p>
    <w:p>
      <w:pPr>
        <w:spacing w:before="0" w:after="40" w:line="202" w:lineRule="exact"/>
        <w:jc w:val="left"/>
      </w:pPr>
      <w:r>
        <w:rPr>
          <w:b w:val="0"/>
          <w:i w:val="0"/>
          <w:sz w:val="18"/>
        </w:rPr>
        <w:t>Return to sport at 4-6 months.</w:t>
      </w:r>
    </w:p>
    <w:p>
      <w:pPr>
        <w:spacing w:before="60" w:after="20" w:line="157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60" w:after="0" w:line="134" w:lineRule="exact"/>
        <w:jc w:val="left"/>
      </w:pPr>
      <w:r>
        <w:rPr>
          <w:b w:val="0"/>
          <w:i/>
          <w:sz w:val="12"/>
        </w:rPr>
        <w:t>Primary Reference: Sanchez-Sotelo J, Morrey BF, O'Driscoll SW. Ligamentous repair and reconstruction for posterolateral rotatory instability of the elbow. JBJS, 2005.</w:t>
      </w:r>
    </w:p>
    <w:p>
      <w:pPr>
        <w:spacing w:before="80" w:after="0" w:line="179" w:lineRule="exact"/>
        <w:jc w:val="left"/>
      </w:pPr>
      <w:r>
        <w:rPr>
          <w:b w:val="0"/>
          <w:i w:val="0"/>
          <w:sz w:val="16"/>
        </w:rPr>
        <w:t>Signature: _____________________________ 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