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RADIAL HEAD / OLECRANON ORIF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Days 0-7: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Posterior splint.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Finger/wrist ROM immediately.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1-3 (Phase 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AROM elbow flexion/extension and forearm rotation (if stable fixation).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ROM goals: 30-120° initially, progressing to full.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resisted elbow extension (olecranon) or heavy lifting.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3-6 (Phase II):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AROM expected.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Gentle isometrics.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6-12 (Phase III):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Progressive strengthening with bands and light weights.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Return to full activity at 3-4 months per radiographic healing.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Hak DJ, Golladay GJ. Olecranon fractures: treatment options. J Am Acad Orthop Surg, 2000; Duckworth AD et al. Radial head and neck fractures. J Hand Surg Am, 2012.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