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CARPAL TUNNEL RELEASE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Soft dressing.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finger motion immediately and frequently.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Elevate hand above heart level.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Ice for 15-20 minutes as needed.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Suture removal at 10-14 days.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Light daily activities permitted.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Gentle wrist ROM: flexion/extension, radial/ulnar deviation.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Grip strengthening with therapy putty.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return to full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Scar massage and desensitization.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Pillar pain (palm soreness) is common — gradually resolves over 2-3 months.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6-12: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Grip strength continues to improve.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Numbness/tingling improvement may continue for 3-6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Keith MW et al. Treatment of carpal tunnel syndrome. AAOS Clinical Practice Guideline, 2016.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