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EXTENSOR TENDON CENTRALIZATION (SAGITTAL BAND RECONSTRUCTION)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0-4 (Phase I): Immobilization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Hand-based MCP extension splint: involved MCP in full 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IP joints free — active PIP and DIP ROM encouraged.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MCP flexion of involved finger.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4-6 (Phase II): Protected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MCP extension splint between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active MCP flexion to 30-40°, progressing 10° per week.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Buddy taping to adjacent finger.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6-8 (Phase III):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active MCP flexion to full range.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Wean from splint during daytime.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night splinting in MCP extension until 8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8-12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12+: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activity.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Monitor for recurrent extensor tendon subluxation during MCP flexion. If subluxation recurs, return to full-time MCP extension splinting for 2 additional weeks.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Rayan GM, Murray D. Classification and treatment of closed sagittal band injuries. J Hand Surg Am, 1994; Catalano LW, Gupta S, Ragland R, Glickel SZ, Johnson C, Barron OA. Closed treatment of nonrheumatoid extensor tendon dislocations at the MCP joint. J Hand Surg Am, 2006.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