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EXTENSOR TENDON REPAIR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Zone I-II (Mallet Finger / DIP):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DIP extension splint for 6-8 weeks continuously.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PIP and MCP motion encouraged.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Night splinting for additional 4-6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DIP flexion until 8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Zone III-IV (Boutonniere / PIP):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PIP extension splint for 6 weeks continuously.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DIP flexion exercises (important to prevent lateral band adhesion).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Relative motion splinting may be considered per surgeon/therapist.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PIP flexion begins at 6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Zone V-VI (Hand/Wrist):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Relative motion extension (RME) splint is the preferred approach when repair strength permits.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RME allows early active motion with the injured finger held in relative extension compared to adjacent digits.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If RME not used: wrist and MCP in extension splint for 4-6 weeks with controlled flexion protocol.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flexion begins at 4-6 weeks (or immediately with RME).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Resistance at 8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 at 12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Zone VII-VIII (Wrist/Forearm):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Similar to Zone V-VI with longer immobilization if needed.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Wrist motion begins at 4-6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Strengthening at 10-12 weeks.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Merritt WH, Wong AL, Lalonde DH. Recent developments are changing extensor tendon management. Plast Reconstr Surg, 2020; Hirth MJ et al. Postoperative hand therapy management of zones V and VI extensor tendon repairs. J Hand Ther, 2021.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