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FLEXOR TENDON RECONSTRUCTION — STAGE 2 (TENDON GRAFTING)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Stage 2 involves removal of the silicone rod and placement of a tendon graft (palmaris longus, plantaris, or other) through the pseudosheath. The graft is secured distally to the distal phalanx and proximally via Pulvertaft weave or similar technique.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0-4 (Phase I): Early Protected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Dorsal blocking splint: Wrist 20-30° flexion, MCP 60-70° flexion, IP joints extended.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Early controlled motion protocol — similar to primary flexor tendon repair: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Passive flexion within the splint.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Active extension to splint limits.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Place-and-hold exercises starting at 3-4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Edema management.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Scar massage once incisions closed.</w:t>
      </w:r>
    </w:p>
    <w:p>
      <w:pPr>
        <w:spacing w:before="0" w:after="40" w:line="179" w:lineRule="exact"/>
        <w:jc w:val="left"/>
      </w:pPr>
      <w:r>
        <w:rPr>
          <w:b w:val="0"/>
          <w:i/>
          <w:sz w:val="16"/>
        </w:rPr>
        <w:t>Note: Tendon graft junctions (especially the proximal weave) may be weaker than a primary repair. Some surgeons prefer a more conservative (passive-only) protocol for the first 4 weeks. Follow surgeon preference.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4-6 (Phase II): Active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Continue dorsal blocking splint between exercises.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gentle active flexion/extension within protective range.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Tendon gliding exercises.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Blocking exercises for individual joints.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6-8 (Phase III): Progressive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Discontinue splint (unless surgeon specifies otherwise).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AROM.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Composite fist.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Light functional activities.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gentle resistance at 8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8-12 (Phase IV): Strengthening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Progressive grip strengthening with putty and hand exerciser.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Functional activities with increasing resistance.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12+ (Phase V): Return to Activity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Return to heavy activities at 4-6 months.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Maximum grip strength recovery at 6-9 months.</w:t>
      </w:r>
    </w:p>
    <w:p>
      <w:pPr>
        <w:spacing w:before="0" w:after="40" w:line="179" w:lineRule="exact"/>
        <w:jc w:val="left"/>
      </w:pPr>
      <w:r>
        <w:rPr>
          <w:b w:val="0"/>
          <w:i/>
          <w:sz w:val="16"/>
        </w:rPr>
        <w:t>Note: Outcomes after Stage 2 reconstruction are generally good (70-85% good/excellent results) but may not match primary repair outcomes. Tenolysis may be required at 6+ months if adhesions limit tendon glide despite compliant therapy.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Sun et al., Orthopedics, 2010 (2-stage reconstruction — 84% good/excellent); Samora JB, Klinefelter RD. JAAOS, 2016; Tang et al., IFSSH Consensus, J Hand Surg Eur, 2026 (early active motion can be used after one-stage tendon grafting — principles applicable to Stage 2).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