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HEMI-HAMATE ARTHROPLASTY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Days 0-3: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Dorsal blocking splint: PIP in 30° flexion.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Elevate hand.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DIP and MCP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Days 3-14 (Phase I): Early Protected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active PIP flexion within dorsal block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Extension block: do not extend PIP past 30° initially.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extension block by 10° per week.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DIP flexion/extension.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2-6 (Phase II): Progressive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extension block to full extension by 4-6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Buddy taping for support.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Tendon gliding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6-12 (Phase III):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grip and pinch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PROM for residual stiffness.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12+: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activity.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 at 3-4 months.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Hemi-hamate autograft restores the volar lip of the middle phalanx. Early motion is critical to prevent PIP stiffness. The dorsal block protocol is similar to PIP fracture-dislocation ORIF but may be advanced slightly faster if graft fixation is rigid.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Williams RMM, Kiefhaber TR, Sommerkamp TG, Stern PJ. Treatment of unstable dorsal proximal interphalangeal fracture/dislocations using a hemi-hamate autograft. J Hand Surg Am, 2003; Calfee RP, Kiefhaber TR, Sommerkamp TG, Stern PJ. Hemi-hamate arthroplasty provides functional reconstruction of acute and chronic PIP fracture-dislocations. J Hand Surg Am, 2009.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