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METACARPAL ORIF WITH INTRAMEDULLARY FIXATION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0-3: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Bulky dressing or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Elevate hand above heart level.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ROM of uninvolved fingers.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Days 3-14 (Phase 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active ROM of involved finger: MCP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Buddy taping for support.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 expected.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Composite fist.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PROM for stiffness.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Scar massage.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III):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when radiographic union confirmed (typically 6-8 weeks).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Intramedullary fixation provides sufficient stability for early active motion, often beginning POD 0-3. Surgeon discretion based on fracture pattern and fixation quality.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Humar P et al. Ann Plast Surg, 2024; Geada LR et al. Intramedullary metacarpal screw fracture fixation: a retrospective review of the rehabilitation literature. Ann Plast Surg, 2021; Lambi AG et al. Metacarpal fractures. J Hand Surg Eur, 2023.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