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69" w:lineRule="exact"/>
        <w:jc w:val="center"/>
      </w:pPr>
      <w:r>
        <w:rPr>
          <w:b/>
          <w:i w:val="0"/>
          <w:sz w:val="24"/>
        </w:rPr>
        <w:t>METACARPAL PERCUTANEOUS PINNING PROTOCOL</w:t>
      </w:r>
    </w:p>
    <w:p>
      <w:pPr>
        <w:spacing w:before="0" w:after="20" w:line="179" w:lineRule="exact"/>
        <w:jc w:val="left"/>
      </w:pPr>
      <w:r>
        <w:rPr>
          <w:b w:val="0"/>
          <w:i w:val="0"/>
          <w:sz w:val="16"/>
        </w:rPr>
        <w:t>Name: _____________________  Diagnosis: _____________________  Date of Surgery: ____________</w:t>
      </w:r>
    </w:p>
    <w:p>
      <w:pPr>
        <w:spacing w:before="0" w:after="60" w:line="179" w:lineRule="exact"/>
        <w:jc w:val="left"/>
      </w:pPr>
      <w:r>
        <w:rPr>
          <w:b w:val="0"/>
          <w:i w:val="0"/>
          <w:sz w:val="16"/>
        </w:rPr>
        <w:t>Frequency: 2-3 times / week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Weeks 0-2 (Phase I): Protection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Ulnar gutter or radial gutter splint (depending on metacarpal involved).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Active ROM of uninvolved fingers and wrist.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Edema management.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Weeks 2-4 (Phase II): Protected Motion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Begin active MCP flexion/extension of involved finger within buddy taping.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Tendon gliding exercises.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Pin site care.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Weeks 4-6 (Phase III): Pin Removal and Progressive Motion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Pin removal at 3-4 weeks (per radiographic healing).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Full AROM.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Composite fist.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PROM for stiffness.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Weeks 6-12 (Phase IV): Strengthening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Progressive grip strengthening.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Functional activities.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Return to sport at 6-8 weeks.</w:t>
      </w:r>
    </w:p>
    <w:p>
      <w:pPr>
        <w:spacing w:before="60" w:after="20" w:line="157" w:lineRule="exact"/>
        <w:jc w:val="left"/>
      </w:pPr>
      <w:r>
        <w:rPr>
          <w:b w:val="0"/>
          <w:i/>
          <w:sz w:val="14"/>
        </w:rPr>
        <w:t>Modalities: Per therapist, including electrical stimulation, ultrasound, heat before, ice after.</w:t>
      </w:r>
    </w:p>
    <w:p>
      <w:pPr>
        <w:spacing w:before="60" w:after="0" w:line="134" w:lineRule="exact"/>
        <w:jc w:val="left"/>
      </w:pPr>
      <w:r>
        <w:rPr>
          <w:b w:val="0"/>
          <w:i/>
          <w:sz w:val="12"/>
        </w:rPr>
        <w:t>Primary Reference: Hardy MA. JOSPT, 2004; Lambi AG et al. J Hand Surg Eur, 2023; Stash N et al. Metacarpal fractures: an evidence-based review. J Am Acad Orthop Surg, 2025.</w:t>
      </w:r>
    </w:p>
    <w:p>
      <w:pPr>
        <w:spacing w:before="80" w:after="0" w:line="179" w:lineRule="exact"/>
        <w:jc w:val="left"/>
      </w:pPr>
      <w:r>
        <w:rPr>
          <w:b w:val="0"/>
          <w:i w:val="0"/>
          <w:sz w:val="16"/>
        </w:rPr>
        <w:t>Signature: _____________________________   Date: ______________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