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PIP FRACTURE-DISLOCATION ORIF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Days 0-3: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Dorsal blocking splint: PIP in 30° flexion.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Elevate hand.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Active DIP and MCP 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Days 3-14 (Phase I): Early Protected Motion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active PIP flexion within dorsal block splint.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Extension block: do not extend PIP past 30° initially.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 extension block by 10° per week.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Active DIP flexion/extension.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2-6 (Phase II): Progressive Motion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 extension block to full extension by 4-6 weeks.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AROM.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Buddy taping for support.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Tendon gliding exercises.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6-12 (Phase III): Strengthening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Discontinue splint.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Progressive grip and pinch strengthening.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PROM for residual stiffness.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Functional activities.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12+: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activity.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Return to sport at 3-4 months.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Hardy MA. JOSPT, 2004.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